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455" w:rsidRPr="00360455" w:rsidRDefault="00360455" w:rsidP="00360455">
      <w:pPr>
        <w:spacing w:after="0" w:line="240" w:lineRule="auto"/>
        <w:jc w:val="both"/>
        <w:rPr>
          <w:rFonts w:ascii="Tahoma" w:hAnsi="Tahoma" w:cs="Tahoma"/>
          <w:b/>
          <w:sz w:val="20"/>
          <w:szCs w:val="20"/>
        </w:rPr>
      </w:pPr>
    </w:p>
    <w:p w:rsidR="00BF5946" w:rsidRPr="00073E22" w:rsidRDefault="00360455" w:rsidP="00073E22">
      <w:pPr>
        <w:tabs>
          <w:tab w:val="left" w:pos="7655"/>
        </w:tabs>
        <w:spacing w:after="0" w:line="240" w:lineRule="auto"/>
        <w:ind w:left="2977" w:right="2409" w:hanging="992"/>
        <w:jc w:val="both"/>
        <w:rPr>
          <w:rFonts w:ascii="Tahoma" w:hAnsi="Tahoma" w:cs="Tahoma"/>
          <w:i/>
          <w:sz w:val="20"/>
          <w:szCs w:val="20"/>
        </w:rPr>
      </w:pPr>
      <w:r w:rsidRPr="00360455">
        <w:rPr>
          <w:rFonts w:ascii="Tahoma" w:hAnsi="Tahoma" w:cs="Tahoma"/>
          <w:b/>
          <w:i/>
          <w:sz w:val="20"/>
          <w:szCs w:val="20"/>
        </w:rPr>
        <w:t xml:space="preserve">Sumilla: </w:t>
      </w:r>
      <w:r>
        <w:rPr>
          <w:rFonts w:ascii="Tahoma" w:hAnsi="Tahoma" w:cs="Tahoma"/>
          <w:b/>
          <w:i/>
          <w:sz w:val="20"/>
          <w:szCs w:val="20"/>
        </w:rPr>
        <w:t xml:space="preserve"> </w:t>
      </w:r>
      <w:r w:rsidR="00BF5946" w:rsidRPr="00073E22">
        <w:rPr>
          <w:rFonts w:ascii="Tahoma" w:hAnsi="Tahoma" w:cs="Tahoma"/>
          <w:i/>
          <w:sz w:val="20"/>
          <w:szCs w:val="20"/>
          <w:lang w:val="es-ES_tradnl"/>
        </w:rPr>
        <w:t>E</w:t>
      </w:r>
      <w:r w:rsidR="00BF5946" w:rsidRPr="00073E22">
        <w:rPr>
          <w:rFonts w:ascii="Tahoma" w:hAnsi="Tahoma" w:cs="Tahoma"/>
          <w:i/>
          <w:sz w:val="20"/>
          <w:szCs w:val="20"/>
        </w:rPr>
        <w:t xml:space="preserve">l procedimiento para suscribir el contrato dispone que </w:t>
      </w:r>
      <w:r w:rsidR="00BF5946" w:rsidRPr="00073E22">
        <w:rPr>
          <w:rFonts w:ascii="Tahoma" w:hAnsi="Tahoma" w:cs="Tahoma"/>
          <w:bCs/>
          <w:i/>
          <w:sz w:val="20"/>
          <w:szCs w:val="20"/>
        </w:rPr>
        <w:t>dentro de los dos (2) días hábiles siguientes al consentimiento de la buena pro, la Entidad deberá citar al postor ganador</w:t>
      </w:r>
      <w:r w:rsidR="00BF5946" w:rsidRPr="00073E22">
        <w:rPr>
          <w:rFonts w:ascii="Tahoma" w:hAnsi="Tahoma" w:cs="Tahoma"/>
          <w:i/>
          <w:sz w:val="20"/>
          <w:szCs w:val="20"/>
        </w:rPr>
        <w:t>, otorgándole un plazo mínimo de cinco (5) días hábiles y máximo de diez (10) días hábiles para suscribir el contrato.</w:t>
      </w:r>
    </w:p>
    <w:p w:rsidR="00360455" w:rsidRPr="00BF5946" w:rsidRDefault="00360455" w:rsidP="00360455">
      <w:pPr>
        <w:pStyle w:val="Textoindependiente"/>
        <w:widowControl w:val="0"/>
        <w:tabs>
          <w:tab w:val="left" w:pos="2410"/>
          <w:tab w:val="left" w:pos="3686"/>
          <w:tab w:val="left" w:pos="5812"/>
          <w:tab w:val="left" w:pos="6237"/>
          <w:tab w:val="left" w:pos="6946"/>
        </w:tabs>
        <w:suppressAutoHyphens/>
        <w:spacing w:after="0" w:line="240" w:lineRule="auto"/>
        <w:ind w:left="3119" w:right="2409" w:hanging="992"/>
        <w:jc w:val="both"/>
        <w:rPr>
          <w:rFonts w:ascii="Tahoma" w:hAnsi="Tahoma" w:cs="Tahoma"/>
          <w:i/>
          <w:sz w:val="20"/>
          <w:szCs w:val="20"/>
        </w:rPr>
      </w:pPr>
    </w:p>
    <w:p w:rsidR="00360455" w:rsidRPr="00360455" w:rsidRDefault="00360455" w:rsidP="00360455">
      <w:pPr>
        <w:pStyle w:val="Textoindependiente3"/>
        <w:spacing w:after="0"/>
        <w:ind w:left="4248" w:right="179" w:firstLine="708"/>
        <w:jc w:val="both"/>
        <w:rPr>
          <w:rFonts w:ascii="Tahoma" w:hAnsi="Tahoma" w:cs="Tahoma"/>
          <w:sz w:val="20"/>
          <w:szCs w:val="20"/>
        </w:rPr>
      </w:pPr>
      <w:r w:rsidRPr="00360455">
        <w:rPr>
          <w:rFonts w:ascii="Tahoma" w:hAnsi="Tahoma" w:cs="Tahoma"/>
          <w:b/>
          <w:sz w:val="20"/>
          <w:szCs w:val="20"/>
        </w:rPr>
        <w:t>Lima</w:t>
      </w:r>
      <w:r w:rsidRPr="00360455">
        <w:rPr>
          <w:rFonts w:ascii="Tahoma" w:hAnsi="Tahoma" w:cs="Tahoma"/>
          <w:sz w:val="20"/>
          <w:szCs w:val="20"/>
        </w:rPr>
        <w:t xml:space="preserve">, </w:t>
      </w:r>
      <w:r w:rsidR="00317CB6">
        <w:rPr>
          <w:rFonts w:ascii="Tahoma" w:hAnsi="Tahoma" w:cs="Tahoma"/>
          <w:sz w:val="20"/>
          <w:szCs w:val="20"/>
        </w:rPr>
        <w:t>20 de Julio de 2011</w:t>
      </w:r>
    </w:p>
    <w:p w:rsidR="00360455" w:rsidRPr="00360455" w:rsidRDefault="00360455" w:rsidP="00360455">
      <w:pPr>
        <w:pStyle w:val="Textoindependiente3"/>
        <w:spacing w:after="0"/>
        <w:jc w:val="both"/>
        <w:rPr>
          <w:rFonts w:ascii="Tahoma" w:hAnsi="Tahoma" w:cs="Tahoma"/>
          <w:sz w:val="20"/>
          <w:szCs w:val="20"/>
        </w:rPr>
      </w:pPr>
    </w:p>
    <w:p w:rsidR="00360455" w:rsidRPr="00360455" w:rsidRDefault="00360455" w:rsidP="00360455">
      <w:pPr>
        <w:spacing w:after="0" w:line="240" w:lineRule="auto"/>
        <w:jc w:val="both"/>
        <w:rPr>
          <w:rFonts w:ascii="Tahoma" w:hAnsi="Tahoma" w:cs="Tahoma"/>
          <w:sz w:val="20"/>
          <w:szCs w:val="20"/>
          <w:lang w:val="es-MX"/>
        </w:rPr>
      </w:pPr>
      <w:r w:rsidRPr="00360455">
        <w:rPr>
          <w:rFonts w:ascii="Tahoma" w:hAnsi="Tahoma" w:cs="Tahoma"/>
          <w:b/>
          <w:sz w:val="20"/>
          <w:szCs w:val="20"/>
        </w:rPr>
        <w:t>VISTO</w:t>
      </w:r>
      <w:r w:rsidRPr="00360455">
        <w:rPr>
          <w:rFonts w:ascii="Tahoma" w:hAnsi="Tahoma" w:cs="Tahoma"/>
          <w:sz w:val="20"/>
          <w:szCs w:val="20"/>
        </w:rPr>
        <w:t xml:space="preserve"> en sesión de fecha 15 de julio de 2011 de la Primera Sala del Tribunal de Contrataciones del Estado el Expediente № </w:t>
      </w:r>
      <w:r>
        <w:rPr>
          <w:rFonts w:ascii="Tahoma" w:hAnsi="Tahoma" w:cs="Tahoma"/>
          <w:sz w:val="20"/>
          <w:szCs w:val="20"/>
        </w:rPr>
        <w:t>152</w:t>
      </w:r>
      <w:r w:rsidRPr="00360455">
        <w:rPr>
          <w:rFonts w:ascii="Tahoma" w:hAnsi="Tahoma" w:cs="Tahoma"/>
          <w:sz w:val="20"/>
          <w:szCs w:val="20"/>
        </w:rPr>
        <w:t xml:space="preserve">/2011.TC, sobre el procedimiento administrativo sancionador contra la empresa Opcion Post S.A.C., </w:t>
      </w:r>
      <w:r w:rsidRPr="00360455">
        <w:rPr>
          <w:rFonts w:ascii="Tahoma" w:hAnsi="Tahoma" w:cs="Tahoma"/>
          <w:sz w:val="20"/>
          <w:szCs w:val="20"/>
          <w:lang w:val="es-MX"/>
        </w:rPr>
        <w:t xml:space="preserve">por supuesta responsabilidad en </w:t>
      </w:r>
      <w:r w:rsidRPr="00360455">
        <w:rPr>
          <w:rFonts w:ascii="Tahoma" w:eastAsia="Times New Roman" w:hAnsi="Tahoma" w:cs="Tahoma"/>
          <w:sz w:val="20"/>
          <w:szCs w:val="20"/>
          <w:lang w:val="es-ES_tradnl" w:eastAsia="es-ES"/>
        </w:rPr>
        <w:t xml:space="preserve">no suscribir injustificadamente el contrato </w:t>
      </w:r>
      <w:r>
        <w:rPr>
          <w:rFonts w:ascii="Tahoma" w:eastAsia="Times New Roman" w:hAnsi="Tahoma" w:cs="Tahoma"/>
          <w:sz w:val="20"/>
          <w:szCs w:val="20"/>
          <w:lang w:val="es-ES_tradnl" w:eastAsia="es-ES"/>
        </w:rPr>
        <w:t xml:space="preserve">derivado de </w:t>
      </w:r>
      <w:smartTag w:uri="urn:schemas-microsoft-com:office:smarttags" w:element="PersonName">
        <w:smartTagPr>
          <w:attr w:name="ProductID" w:val="la Adjudicación Directa"/>
        </w:smartTagPr>
        <w:r w:rsidRPr="00360455">
          <w:rPr>
            <w:rFonts w:ascii="Tahoma" w:eastAsia="Times New Roman" w:hAnsi="Tahoma" w:cs="Tahoma"/>
            <w:sz w:val="20"/>
            <w:szCs w:val="20"/>
            <w:lang w:eastAsia="es-ES"/>
          </w:rPr>
          <w:t>la Adjudicación Directa</w:t>
        </w:r>
      </w:smartTag>
      <w:r w:rsidRPr="00360455">
        <w:rPr>
          <w:rFonts w:ascii="Tahoma" w:eastAsia="Times New Roman" w:hAnsi="Tahoma" w:cs="Tahoma"/>
          <w:sz w:val="20"/>
          <w:szCs w:val="20"/>
          <w:lang w:eastAsia="es-ES"/>
        </w:rPr>
        <w:t xml:space="preserve"> Selectiva Nº 002-2010-SUNAT/2L0000</w:t>
      </w:r>
      <w:r>
        <w:rPr>
          <w:rFonts w:ascii="Tahoma" w:eastAsia="Times New Roman" w:hAnsi="Tahoma" w:cs="Tahoma"/>
          <w:sz w:val="20"/>
          <w:szCs w:val="20"/>
          <w:lang w:eastAsia="es-ES"/>
        </w:rPr>
        <w:t>,</w:t>
      </w:r>
      <w:r w:rsidRPr="00360455">
        <w:rPr>
          <w:rFonts w:ascii="Tahoma" w:eastAsia="Times New Roman" w:hAnsi="Tahoma" w:cs="Tahoma"/>
          <w:sz w:val="20"/>
          <w:szCs w:val="20"/>
          <w:lang w:eastAsia="es-ES"/>
        </w:rPr>
        <w:t xml:space="preserve"> </w:t>
      </w:r>
      <w:r>
        <w:rPr>
          <w:rFonts w:ascii="Tahoma" w:eastAsia="Times New Roman" w:hAnsi="Tahoma" w:cs="Tahoma"/>
          <w:sz w:val="20"/>
          <w:szCs w:val="20"/>
          <w:lang w:eastAsia="es-ES"/>
        </w:rPr>
        <w:t xml:space="preserve">efectuada por </w:t>
      </w:r>
      <w:smartTag w:uri="urn:schemas-microsoft-com:office:smarttags" w:element="PersonName">
        <w:smartTagPr>
          <w:attr w:name="ProductID" w:val="la Intendencia Regional"/>
        </w:smartTagPr>
        <w:r w:rsidRPr="00360455">
          <w:rPr>
            <w:rFonts w:ascii="Tahoma" w:hAnsi="Tahoma" w:cs="Tahoma"/>
            <w:sz w:val="20"/>
            <w:szCs w:val="20"/>
          </w:rPr>
          <w:t>la Intendencia Regional</w:t>
        </w:r>
      </w:smartTag>
      <w:r w:rsidRPr="00360455">
        <w:rPr>
          <w:rFonts w:ascii="Tahoma" w:hAnsi="Tahoma" w:cs="Tahoma"/>
          <w:sz w:val="20"/>
          <w:szCs w:val="20"/>
        </w:rPr>
        <w:t xml:space="preserve"> Lambayeque de </w:t>
      </w:r>
      <w:smartTag w:uri="urn:schemas-microsoft-com:office:smarttags" w:element="PersonName">
        <w:smartTagPr>
          <w:attr w:name="ProductID" w:val="la Superintendencia Nacional"/>
        </w:smartTagPr>
        <w:r w:rsidRPr="00360455">
          <w:rPr>
            <w:rFonts w:ascii="Tahoma" w:hAnsi="Tahoma" w:cs="Tahoma"/>
            <w:sz w:val="20"/>
            <w:szCs w:val="20"/>
          </w:rPr>
          <w:t>la Superintendencia Nacional</w:t>
        </w:r>
      </w:smartTag>
      <w:r w:rsidRPr="00360455">
        <w:rPr>
          <w:rFonts w:ascii="Tahoma" w:hAnsi="Tahoma" w:cs="Tahoma"/>
          <w:sz w:val="20"/>
          <w:szCs w:val="20"/>
        </w:rPr>
        <w:t xml:space="preserve"> de Administración Tributaria (SUNAT)</w:t>
      </w:r>
      <w:r>
        <w:rPr>
          <w:rFonts w:ascii="Tahoma" w:hAnsi="Tahoma" w:cs="Tahoma"/>
          <w:sz w:val="20"/>
          <w:szCs w:val="20"/>
        </w:rPr>
        <w:t xml:space="preserve">, </w:t>
      </w:r>
      <w:r w:rsidRPr="00360455">
        <w:rPr>
          <w:rFonts w:ascii="Tahoma" w:eastAsia="Times New Roman" w:hAnsi="Tahoma" w:cs="Tahoma"/>
          <w:sz w:val="20"/>
          <w:szCs w:val="20"/>
          <w:lang w:eastAsia="es-ES"/>
        </w:rPr>
        <w:t xml:space="preserve">para contratar el servicio de transporte de bienes y equipos y distribución de paquetes para </w:t>
      </w:r>
      <w:smartTag w:uri="urn:schemas-microsoft-com:office:smarttags" w:element="PersonName">
        <w:smartTagPr>
          <w:attr w:name="ProductID" w:val="la Intendencia Regional"/>
        </w:smartTagPr>
        <w:r w:rsidRPr="00360455">
          <w:rPr>
            <w:rFonts w:ascii="Tahoma" w:eastAsia="Times New Roman" w:hAnsi="Tahoma" w:cs="Tahoma"/>
            <w:sz w:val="20"/>
            <w:szCs w:val="20"/>
            <w:lang w:eastAsia="es-ES"/>
          </w:rPr>
          <w:t>la Intendencia Regional</w:t>
        </w:r>
      </w:smartTag>
      <w:r w:rsidRPr="00360455">
        <w:rPr>
          <w:rFonts w:ascii="Tahoma" w:eastAsia="Times New Roman" w:hAnsi="Tahoma" w:cs="Tahoma"/>
          <w:sz w:val="20"/>
          <w:szCs w:val="20"/>
          <w:lang w:eastAsia="es-ES"/>
        </w:rPr>
        <w:t xml:space="preserve"> de Lambayeque y Jurisdicción Administrativa</w:t>
      </w:r>
      <w:r w:rsidRPr="00360455">
        <w:rPr>
          <w:rFonts w:ascii="Tahoma" w:hAnsi="Tahoma" w:cs="Tahoma"/>
          <w:sz w:val="20"/>
          <w:szCs w:val="20"/>
        </w:rPr>
        <w:t xml:space="preserve">; y, atendiendo a los siguientes:   </w:t>
      </w:r>
    </w:p>
    <w:p w:rsidR="00360455" w:rsidRPr="00360455" w:rsidRDefault="00360455" w:rsidP="00360455">
      <w:pPr>
        <w:spacing w:after="0" w:line="240" w:lineRule="auto"/>
        <w:ind w:right="45"/>
        <w:jc w:val="both"/>
        <w:rPr>
          <w:rFonts w:ascii="Tahoma" w:hAnsi="Tahoma" w:cs="Tahoma"/>
          <w:sz w:val="20"/>
          <w:szCs w:val="20"/>
        </w:rPr>
      </w:pPr>
    </w:p>
    <w:p w:rsidR="00360455" w:rsidRPr="00360455" w:rsidRDefault="00360455" w:rsidP="00360455">
      <w:pPr>
        <w:pStyle w:val="Ttulo2"/>
        <w:jc w:val="both"/>
        <w:rPr>
          <w:rFonts w:cs="Tahoma"/>
          <w:sz w:val="20"/>
        </w:rPr>
      </w:pPr>
      <w:r w:rsidRPr="00360455">
        <w:rPr>
          <w:rFonts w:cs="Tahoma"/>
          <w:sz w:val="20"/>
        </w:rPr>
        <w:t>ANTECEDENTES:</w:t>
      </w:r>
    </w:p>
    <w:p w:rsidR="00360455" w:rsidRPr="00360455" w:rsidRDefault="00360455" w:rsidP="00360455">
      <w:pPr>
        <w:spacing w:after="0" w:line="240" w:lineRule="auto"/>
        <w:jc w:val="both"/>
        <w:rPr>
          <w:rFonts w:ascii="Tahoma" w:hAnsi="Tahoma" w:cs="Tahoma"/>
          <w:b/>
          <w:sz w:val="20"/>
          <w:szCs w:val="20"/>
        </w:rPr>
      </w:pPr>
    </w:p>
    <w:p w:rsidR="00360455" w:rsidRPr="00360455" w:rsidRDefault="00360455" w:rsidP="00360455">
      <w:pPr>
        <w:numPr>
          <w:ilvl w:val="0"/>
          <w:numId w:val="5"/>
        </w:numPr>
        <w:spacing w:after="0" w:line="240" w:lineRule="auto"/>
        <w:jc w:val="both"/>
        <w:rPr>
          <w:rFonts w:ascii="Tahoma" w:hAnsi="Tahoma" w:cs="Tahoma"/>
          <w:sz w:val="20"/>
          <w:szCs w:val="20"/>
        </w:rPr>
      </w:pPr>
      <w:r w:rsidRPr="00360455">
        <w:rPr>
          <w:rFonts w:ascii="Tahoma" w:hAnsi="Tahoma" w:cs="Tahoma"/>
          <w:sz w:val="20"/>
          <w:szCs w:val="20"/>
        </w:rPr>
        <w:t xml:space="preserve">El 22 de febrero de 2010, </w:t>
      </w:r>
      <w:smartTag w:uri="urn:schemas-microsoft-com:office:smarttags" w:element="PersonName">
        <w:smartTagPr>
          <w:attr w:name="ProductID" w:val="la Intendencia Regional"/>
        </w:smartTagPr>
        <w:r w:rsidRPr="00360455">
          <w:rPr>
            <w:rFonts w:ascii="Tahoma" w:hAnsi="Tahoma" w:cs="Tahoma"/>
            <w:sz w:val="20"/>
            <w:szCs w:val="20"/>
          </w:rPr>
          <w:t>la Intendencia Regional</w:t>
        </w:r>
      </w:smartTag>
      <w:r w:rsidRPr="00360455">
        <w:rPr>
          <w:rFonts w:ascii="Tahoma" w:hAnsi="Tahoma" w:cs="Tahoma"/>
          <w:sz w:val="20"/>
          <w:szCs w:val="20"/>
        </w:rPr>
        <w:t xml:space="preserve"> Lambayeque de </w:t>
      </w:r>
      <w:smartTag w:uri="urn:schemas-microsoft-com:office:smarttags" w:element="PersonName">
        <w:smartTagPr>
          <w:attr w:name="ProductID" w:val="la Superintendencia Nacional"/>
        </w:smartTagPr>
        <w:r w:rsidRPr="00360455">
          <w:rPr>
            <w:rFonts w:ascii="Tahoma" w:hAnsi="Tahoma" w:cs="Tahoma"/>
            <w:sz w:val="20"/>
            <w:szCs w:val="20"/>
          </w:rPr>
          <w:t>la Superintendencia Nacional</w:t>
        </w:r>
      </w:smartTag>
      <w:r w:rsidRPr="00360455">
        <w:rPr>
          <w:rFonts w:ascii="Tahoma" w:hAnsi="Tahoma" w:cs="Tahoma"/>
          <w:sz w:val="20"/>
          <w:szCs w:val="20"/>
        </w:rPr>
        <w:t xml:space="preserve"> de Administración Tributaria (SUNAT), en adelante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convocó </w:t>
      </w:r>
      <w:smartTag w:uri="urn:schemas-microsoft-com:office:smarttags" w:element="PersonName">
        <w:smartTagPr>
          <w:attr w:name="ProductID" w:val="la Adjudicación Directa"/>
        </w:smartTagPr>
        <w:r w:rsidRPr="00360455">
          <w:rPr>
            <w:rFonts w:ascii="Tahoma" w:hAnsi="Tahoma" w:cs="Tahoma"/>
            <w:sz w:val="20"/>
            <w:szCs w:val="20"/>
          </w:rPr>
          <w:t>la Adjudicación Directa</w:t>
        </w:r>
      </w:smartTag>
      <w:r w:rsidRPr="00360455">
        <w:rPr>
          <w:rFonts w:ascii="Tahoma" w:hAnsi="Tahoma" w:cs="Tahoma"/>
          <w:sz w:val="20"/>
          <w:szCs w:val="20"/>
        </w:rPr>
        <w:t xml:space="preserve"> Selectiva Nº 002-2010-SUNAT/2L0000 para contratar el servicio de transporte de bienes y equipos y distribución de paquetes para </w:t>
      </w:r>
      <w:smartTag w:uri="urn:schemas-microsoft-com:office:smarttags" w:element="PersonName">
        <w:smartTagPr>
          <w:attr w:name="ProductID" w:val="la Intendencia Regional"/>
        </w:smartTagPr>
        <w:r w:rsidRPr="00360455">
          <w:rPr>
            <w:rFonts w:ascii="Tahoma" w:hAnsi="Tahoma" w:cs="Tahoma"/>
            <w:sz w:val="20"/>
            <w:szCs w:val="20"/>
          </w:rPr>
          <w:t>la Intendencia Regional</w:t>
        </w:r>
      </w:smartTag>
      <w:r w:rsidRPr="00360455">
        <w:rPr>
          <w:rFonts w:ascii="Tahoma" w:hAnsi="Tahoma" w:cs="Tahoma"/>
          <w:sz w:val="20"/>
          <w:szCs w:val="20"/>
        </w:rPr>
        <w:t xml:space="preserve"> de Lambayeque y Jurisdicción Administrativa, por un valor referencial de S/. 89 244,00 (Ochenta y nueve mil doscientos cuarenta y cuatro con 00/100 Nuevos Soles).</w:t>
      </w:r>
    </w:p>
    <w:p w:rsidR="00360455" w:rsidRPr="00360455" w:rsidRDefault="00360455" w:rsidP="00360455">
      <w:pPr>
        <w:spacing w:after="0" w:line="240" w:lineRule="auto"/>
        <w:jc w:val="both"/>
        <w:rPr>
          <w:rFonts w:ascii="Tahoma" w:hAnsi="Tahoma" w:cs="Tahoma"/>
          <w:sz w:val="20"/>
          <w:szCs w:val="20"/>
        </w:rPr>
      </w:pPr>
    </w:p>
    <w:p w:rsidR="00360455" w:rsidRPr="00360455" w:rsidRDefault="00360455" w:rsidP="00360455">
      <w:pPr>
        <w:numPr>
          <w:ilvl w:val="0"/>
          <w:numId w:val="5"/>
        </w:numPr>
        <w:spacing w:after="0" w:line="240" w:lineRule="auto"/>
        <w:jc w:val="both"/>
        <w:rPr>
          <w:rFonts w:ascii="Tahoma" w:hAnsi="Tahoma" w:cs="Tahoma"/>
          <w:sz w:val="20"/>
          <w:szCs w:val="20"/>
        </w:rPr>
      </w:pPr>
      <w:r w:rsidRPr="00360455">
        <w:rPr>
          <w:rFonts w:ascii="Tahoma" w:hAnsi="Tahoma" w:cs="Tahoma"/>
          <w:sz w:val="20"/>
          <w:szCs w:val="20"/>
        </w:rPr>
        <w:t>Según Acta del 11 de marzo de 2010, publicada el 12 del mismo mes y año en el Sistema Electrónico de Contrataciones del Estado (SEACE), el Comité Especial descalificó a las empresas SG &amp; Courier S.R.L. y Servicios Logísticos de Courier del Perú S.A. y otorgó la buena pro a la empresa Opcion Post S.A.C.</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5"/>
        </w:numPr>
        <w:spacing w:after="0" w:line="240" w:lineRule="auto"/>
        <w:jc w:val="both"/>
        <w:rPr>
          <w:rFonts w:ascii="Tahoma" w:hAnsi="Tahoma" w:cs="Tahoma"/>
          <w:sz w:val="20"/>
          <w:szCs w:val="20"/>
        </w:rPr>
      </w:pPr>
      <w:r w:rsidRPr="00360455">
        <w:rPr>
          <w:rFonts w:ascii="Tahoma" w:hAnsi="Tahoma" w:cs="Tahoma"/>
          <w:sz w:val="20"/>
          <w:szCs w:val="20"/>
        </w:rPr>
        <w:t xml:space="preserve">Mediante Resolución de Superintendencia Nº 299-2010/SUNAT del 03 de noviembre de 2010,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declaró la nulidad de oficio del proceso de selección, dejando sin efecto el otorgamiento de la buena pro y retrotrajo el proceso a la etapa de evaluación de propuestas.</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spacing w:after="0" w:line="240" w:lineRule="auto"/>
        <w:ind w:left="720"/>
        <w:jc w:val="both"/>
        <w:rPr>
          <w:rFonts w:ascii="Tahoma" w:hAnsi="Tahoma" w:cs="Tahoma"/>
          <w:sz w:val="20"/>
          <w:szCs w:val="20"/>
        </w:rPr>
      </w:pPr>
      <w:r w:rsidRPr="00360455">
        <w:rPr>
          <w:rFonts w:ascii="Tahoma" w:hAnsi="Tahoma" w:cs="Tahoma"/>
          <w:sz w:val="20"/>
          <w:szCs w:val="20"/>
        </w:rPr>
        <w:t>Los fundamentos de dicho acto administrativo son los siguientes:</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6"/>
        </w:numPr>
        <w:spacing w:after="0" w:line="240" w:lineRule="auto"/>
        <w:jc w:val="both"/>
        <w:rPr>
          <w:rFonts w:ascii="Tahoma" w:hAnsi="Tahoma" w:cs="Tahoma"/>
          <w:sz w:val="20"/>
          <w:szCs w:val="20"/>
        </w:rPr>
      </w:pPr>
      <w:r w:rsidRPr="00360455">
        <w:rPr>
          <w:rFonts w:ascii="Tahoma" w:hAnsi="Tahoma" w:cs="Tahoma"/>
          <w:sz w:val="20"/>
          <w:szCs w:val="20"/>
        </w:rPr>
        <w:t xml:space="preserve">Según Informe Nº 01-2010-CE-ADS Nº 0002-2010-SUNAT/2L000 del 05 de mayo de 2010, emitido por los miembros del Comité Especial y el Informe Nº 020-2010-SUNAT/2L0100 del 19 de marzo de 2010, elaborado por </w:t>
      </w:r>
      <w:smartTag w:uri="urn:schemas-microsoft-com:office:smarttags" w:element="PersonName">
        <w:smartTagPr>
          <w:attr w:name="ProductID" w:val="la Presidenta"/>
        </w:smartTagPr>
        <w:r w:rsidRPr="00360455">
          <w:rPr>
            <w:rFonts w:ascii="Tahoma" w:hAnsi="Tahoma" w:cs="Tahoma"/>
            <w:sz w:val="20"/>
            <w:szCs w:val="20"/>
          </w:rPr>
          <w:t xml:space="preserve">la </w:t>
        </w:r>
        <w:r w:rsidRPr="00360455">
          <w:rPr>
            <w:rFonts w:ascii="Tahoma" w:hAnsi="Tahoma" w:cs="Tahoma"/>
            <w:sz w:val="20"/>
            <w:szCs w:val="20"/>
          </w:rPr>
          <w:lastRenderedPageBreak/>
          <w:t>Presidenta</w:t>
        </w:r>
      </w:smartTag>
      <w:r w:rsidRPr="00360455">
        <w:rPr>
          <w:rFonts w:ascii="Tahoma" w:hAnsi="Tahoma" w:cs="Tahoma"/>
          <w:sz w:val="20"/>
          <w:szCs w:val="20"/>
        </w:rPr>
        <w:t xml:space="preserve"> del Comité Especial, al verificar la documentación presentada por Opcion Post S.A.C., el 18 de marzo de 2010, el Comité Especial advirtió que la carta fianza entregada como garantía de seriedad de oferta tenía una vigencia de dos (2) meses contados a partir del día siguiente del acto de presentación de propuestas.</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6"/>
        </w:numPr>
        <w:spacing w:after="0" w:line="240" w:lineRule="auto"/>
        <w:jc w:val="both"/>
        <w:rPr>
          <w:rFonts w:ascii="Tahoma" w:hAnsi="Tahoma" w:cs="Tahoma"/>
          <w:sz w:val="20"/>
          <w:szCs w:val="20"/>
        </w:rPr>
      </w:pPr>
      <w:r w:rsidRPr="00360455">
        <w:rPr>
          <w:rFonts w:ascii="Tahoma" w:hAnsi="Tahoma" w:cs="Tahoma"/>
          <w:sz w:val="20"/>
          <w:szCs w:val="20"/>
        </w:rPr>
        <w:t xml:space="preserve">Mediante Informe Nº 051-2010-SUNAT/2L0100, </w:t>
      </w:r>
      <w:smartTag w:uri="urn:schemas-microsoft-com:office:smarttags" w:element="PersonName">
        <w:smartTagPr>
          <w:attr w:name="ProductID" w:val="la Oficina"/>
        </w:smartTagPr>
        <w:r w:rsidRPr="00360455">
          <w:rPr>
            <w:rFonts w:ascii="Tahoma" w:hAnsi="Tahoma" w:cs="Tahoma"/>
            <w:sz w:val="20"/>
            <w:szCs w:val="20"/>
          </w:rPr>
          <w:t>la Oficina</w:t>
        </w:r>
      </w:smartTag>
      <w:r w:rsidRPr="00360455">
        <w:rPr>
          <w:rFonts w:ascii="Tahoma" w:hAnsi="Tahoma" w:cs="Tahoma"/>
          <w:sz w:val="20"/>
          <w:szCs w:val="20"/>
        </w:rPr>
        <w:t xml:space="preserve"> de Administración y Almacen de </w:t>
      </w:r>
      <w:smartTag w:uri="urn:schemas-microsoft-com:office:smarttags" w:element="PersonName">
        <w:smartTagPr>
          <w:attr w:name="ProductID" w:val="la Intendencia Regional"/>
        </w:smartTagPr>
        <w:r w:rsidRPr="00360455">
          <w:rPr>
            <w:rFonts w:ascii="Tahoma" w:hAnsi="Tahoma" w:cs="Tahoma"/>
            <w:sz w:val="20"/>
            <w:szCs w:val="20"/>
          </w:rPr>
          <w:t>la Intendencia Regional</w:t>
        </w:r>
      </w:smartTag>
      <w:r w:rsidRPr="00360455">
        <w:rPr>
          <w:rFonts w:ascii="Tahoma" w:hAnsi="Tahoma" w:cs="Tahoma"/>
          <w:sz w:val="20"/>
          <w:szCs w:val="20"/>
        </w:rPr>
        <w:t xml:space="preserve"> Lambayeque refiere que la carta fianza presentada por Opcion Post debía tener vigencia hasta el 08 de mayo de 2010; sin embargo, ésta culminaba el 04 de mayo de 2010.  Asimismo, menciona que el Comité Especial determinó que los cuatro (4) días de diferencia entre la fecha de vencimiento de la carta fianza y la establecida en el Reglamento y las Bases no significaba incumplimiento alguno de los plazos, toda vez que su finalidad es garantizar la vigencia de la oferta, y la garantía presentada por Opcion Post S.A.C. cumple esta condición.</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6"/>
        </w:numPr>
        <w:spacing w:after="0" w:line="240" w:lineRule="auto"/>
        <w:jc w:val="both"/>
        <w:rPr>
          <w:rFonts w:ascii="Tahoma" w:hAnsi="Tahoma" w:cs="Tahoma"/>
          <w:sz w:val="20"/>
          <w:szCs w:val="20"/>
        </w:rPr>
      </w:pPr>
      <w:r w:rsidRPr="00360455">
        <w:rPr>
          <w:rFonts w:ascii="Tahoma" w:hAnsi="Tahoma" w:cs="Tahoma"/>
          <w:sz w:val="20"/>
          <w:szCs w:val="20"/>
        </w:rPr>
        <w:t>El otorgamiento de la buena pro debió haber quedado consentido el 19 de abril; no obstante, éste se dio fuera del plazo, por lo que la notificación para suscribir el contrato tampoco se encuentra dentro de los plazos previstos en la normativa aplicable.</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6"/>
        </w:numPr>
        <w:spacing w:after="0" w:line="240" w:lineRule="auto"/>
        <w:jc w:val="both"/>
        <w:rPr>
          <w:rFonts w:ascii="Tahoma" w:hAnsi="Tahoma" w:cs="Tahoma"/>
          <w:sz w:val="20"/>
          <w:szCs w:val="20"/>
        </w:rPr>
      </w:pPr>
      <w:r w:rsidRPr="00360455">
        <w:rPr>
          <w:rFonts w:ascii="Tahoma" w:hAnsi="Tahoma" w:cs="Tahoma"/>
          <w:sz w:val="20"/>
          <w:szCs w:val="20"/>
        </w:rPr>
        <w:t xml:space="preserve">En el Informe Nº 100-2010-SUNAT/2G3500, </w:t>
      </w:r>
      <w:smartTag w:uri="urn:schemas-microsoft-com:office:smarttags" w:element="PersonName">
        <w:smartTagPr>
          <w:attr w:name="ProductID" w:val="la División"/>
        </w:smartTagPr>
        <w:r w:rsidRPr="00360455">
          <w:rPr>
            <w:rFonts w:ascii="Tahoma" w:hAnsi="Tahoma" w:cs="Tahoma"/>
            <w:sz w:val="20"/>
            <w:szCs w:val="20"/>
          </w:rPr>
          <w:t>la División</w:t>
        </w:r>
      </w:smartTag>
      <w:r w:rsidRPr="00360455">
        <w:rPr>
          <w:rFonts w:ascii="Tahoma" w:hAnsi="Tahoma" w:cs="Tahoma"/>
          <w:sz w:val="20"/>
          <w:szCs w:val="20"/>
        </w:rPr>
        <w:t xml:space="preserve"> de Contrataciones de </w:t>
      </w:r>
      <w:smartTag w:uri="urn:schemas-microsoft-com:office:smarttags" w:element="PersonName">
        <w:smartTagPr>
          <w:attr w:name="ProductID" w:val="la Intendencia Regional"/>
        </w:smartTagPr>
        <w:r w:rsidRPr="00360455">
          <w:rPr>
            <w:rFonts w:ascii="Tahoma" w:hAnsi="Tahoma" w:cs="Tahoma"/>
            <w:sz w:val="20"/>
            <w:szCs w:val="20"/>
          </w:rPr>
          <w:t>la Intendencia Regional</w:t>
        </w:r>
      </w:smartTag>
      <w:r w:rsidRPr="00360455">
        <w:rPr>
          <w:rFonts w:ascii="Tahoma" w:hAnsi="Tahoma" w:cs="Tahoma"/>
          <w:sz w:val="20"/>
          <w:szCs w:val="20"/>
        </w:rPr>
        <w:t xml:space="preserve"> de Lambayeque menciona que si bien la carta fianza de Opcion Post S.A.C. le faltaban cuatro (4) días de vigencia, acorde con lo indicado en </w:t>
      </w:r>
      <w:smartTag w:uri="urn:schemas-microsoft-com:office:smarttags" w:element="PersonName">
        <w:smartTagPr>
          <w:attr w:name="ProductID" w:val="la Resolución N"/>
        </w:smartTagPr>
        <w:r w:rsidRPr="00360455">
          <w:rPr>
            <w:rFonts w:ascii="Tahoma" w:hAnsi="Tahoma" w:cs="Tahoma"/>
            <w:sz w:val="20"/>
            <w:szCs w:val="20"/>
          </w:rPr>
          <w:t>la Resolución N</w:t>
        </w:r>
      </w:smartTag>
      <w:r w:rsidRPr="00360455">
        <w:rPr>
          <w:rFonts w:ascii="Tahoma" w:hAnsi="Tahoma" w:cs="Tahoma"/>
          <w:sz w:val="20"/>
          <w:szCs w:val="20"/>
        </w:rPr>
        <w:t>º 2118-2009-TC-S2 y la discrecionalidad de los miembros del Comité Especial, la decisión de otorgarle la buena pro se basó en la aplicación de los principios que rigen las contrataciones públicas, fomentando la eficiencia en la contratación.</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6"/>
        </w:numPr>
        <w:spacing w:after="0" w:line="240" w:lineRule="auto"/>
        <w:jc w:val="both"/>
        <w:rPr>
          <w:rFonts w:ascii="Tahoma" w:hAnsi="Tahoma" w:cs="Tahoma"/>
          <w:sz w:val="20"/>
          <w:szCs w:val="20"/>
        </w:rPr>
      </w:pPr>
      <w:r w:rsidRPr="00360455">
        <w:rPr>
          <w:rFonts w:ascii="Tahoma" w:hAnsi="Tahoma" w:cs="Tahoma"/>
          <w:sz w:val="20"/>
          <w:szCs w:val="20"/>
        </w:rPr>
        <w:t>El registro del consentimiento de la buena pro y la citación para suscribir el contrato se realizó de manera extemporánea, por lo que se habría incurrido en causal de nulidad.</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6"/>
        </w:numPr>
        <w:spacing w:after="0" w:line="240" w:lineRule="auto"/>
        <w:jc w:val="both"/>
        <w:rPr>
          <w:rFonts w:ascii="Tahoma" w:hAnsi="Tahoma" w:cs="Tahoma"/>
          <w:sz w:val="20"/>
          <w:szCs w:val="20"/>
        </w:rPr>
      </w:pPr>
      <w:r w:rsidRPr="00360455">
        <w:rPr>
          <w:rFonts w:ascii="Tahoma" w:hAnsi="Tahoma" w:cs="Tahoma"/>
          <w:sz w:val="20"/>
          <w:szCs w:val="20"/>
        </w:rPr>
        <w:t>Habiéndose advertido que el Comité Especial no observó el procedimiento previsto en la normativa aplicable para la verificación de cumplimiento de los documentos necesarios para que la propuesta de Opcion Post S.A.C. sea considerada como válida, se ha incurrido en causal de nulidad.</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6"/>
        </w:numPr>
        <w:spacing w:after="0" w:line="240" w:lineRule="auto"/>
        <w:jc w:val="both"/>
        <w:rPr>
          <w:rFonts w:ascii="Tahoma" w:hAnsi="Tahoma" w:cs="Tahoma"/>
          <w:sz w:val="20"/>
          <w:szCs w:val="20"/>
        </w:rPr>
      </w:pPr>
      <w:r w:rsidRPr="00360455">
        <w:rPr>
          <w:rFonts w:ascii="Tahoma" w:hAnsi="Tahoma" w:cs="Tahoma"/>
          <w:sz w:val="20"/>
          <w:szCs w:val="20"/>
        </w:rPr>
        <w:t xml:space="preserve">Al advertir que la carta fianza contenía error en el plazo de vigencia, el Comité Especial debió solicitar a Opcion Post S.A.C. que subsane este aspecto, de acuerdo al criterio expuesto en </w:t>
      </w:r>
      <w:smartTag w:uri="urn:schemas-microsoft-com:office:smarttags" w:element="PersonName">
        <w:smartTagPr>
          <w:attr w:name="ProductID" w:val="la Resolución N"/>
        </w:smartTagPr>
        <w:r w:rsidRPr="00360455">
          <w:rPr>
            <w:rFonts w:ascii="Tahoma" w:hAnsi="Tahoma" w:cs="Tahoma"/>
            <w:sz w:val="20"/>
            <w:szCs w:val="20"/>
          </w:rPr>
          <w:t>la Resolución N</w:t>
        </w:r>
      </w:smartTag>
      <w:r w:rsidRPr="00360455">
        <w:rPr>
          <w:rFonts w:ascii="Tahoma" w:hAnsi="Tahoma" w:cs="Tahoma"/>
          <w:sz w:val="20"/>
          <w:szCs w:val="20"/>
        </w:rPr>
        <w:t>º 2118-2009-TC-S2.</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6"/>
        </w:numPr>
        <w:spacing w:after="0" w:line="240" w:lineRule="auto"/>
        <w:jc w:val="both"/>
        <w:rPr>
          <w:rFonts w:ascii="Tahoma" w:hAnsi="Tahoma" w:cs="Tahoma"/>
          <w:sz w:val="20"/>
          <w:szCs w:val="20"/>
        </w:rPr>
      </w:pPr>
      <w:smartTag w:uri="urn:schemas-microsoft-com:office:smarttags" w:element="PersonName">
        <w:smartTagPr>
          <w:attr w:name="ProductID" w:val="la Oficina"/>
        </w:smartTagPr>
        <w:r w:rsidRPr="00360455">
          <w:rPr>
            <w:rFonts w:ascii="Tahoma" w:hAnsi="Tahoma" w:cs="Tahoma"/>
            <w:sz w:val="20"/>
            <w:szCs w:val="20"/>
          </w:rPr>
          <w:t>La Oficina</w:t>
        </w:r>
      </w:smartTag>
      <w:r w:rsidRPr="00360455">
        <w:rPr>
          <w:rFonts w:ascii="Tahoma" w:hAnsi="Tahoma" w:cs="Tahoma"/>
          <w:sz w:val="20"/>
          <w:szCs w:val="20"/>
        </w:rPr>
        <w:t xml:space="preserve"> de Administración y Almacen de </w:t>
      </w:r>
      <w:smartTag w:uri="urn:schemas-microsoft-com:office:smarttags" w:element="PersonName">
        <w:smartTagPr>
          <w:attr w:name="ProductID" w:val="la Intendencia Regional"/>
        </w:smartTagPr>
        <w:r w:rsidRPr="00360455">
          <w:rPr>
            <w:rFonts w:ascii="Tahoma" w:hAnsi="Tahoma" w:cs="Tahoma"/>
            <w:sz w:val="20"/>
            <w:szCs w:val="20"/>
          </w:rPr>
          <w:t>la Intendencia Regional</w:t>
        </w:r>
      </w:smartTag>
      <w:r w:rsidRPr="00360455">
        <w:rPr>
          <w:rFonts w:ascii="Tahoma" w:hAnsi="Tahoma" w:cs="Tahoma"/>
          <w:sz w:val="20"/>
          <w:szCs w:val="20"/>
        </w:rPr>
        <w:t xml:space="preserve"> Lambayeque informó sobre la continuidad de la garantía presentada por Opcion Post S.A.C.; evidenciándose su renovación oportuna, es decir, antes de su vencimiento.</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6"/>
        </w:numPr>
        <w:spacing w:after="0" w:line="240" w:lineRule="auto"/>
        <w:jc w:val="both"/>
        <w:rPr>
          <w:rFonts w:ascii="Tahoma" w:hAnsi="Tahoma" w:cs="Tahoma"/>
          <w:sz w:val="20"/>
          <w:szCs w:val="20"/>
        </w:rPr>
      </w:pPr>
      <w:r w:rsidRPr="00360455">
        <w:rPr>
          <w:rFonts w:ascii="Tahoma" w:hAnsi="Tahoma" w:cs="Tahoma"/>
          <w:sz w:val="20"/>
          <w:szCs w:val="20"/>
        </w:rPr>
        <w:t>Por la demora en la publicación de la información en el SEACE, la citación para suscribir el contrato fue posterior al plazo correspondiente.</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5"/>
        </w:numPr>
        <w:spacing w:after="0" w:line="240" w:lineRule="auto"/>
        <w:jc w:val="both"/>
        <w:rPr>
          <w:rFonts w:ascii="Tahoma" w:hAnsi="Tahoma" w:cs="Tahoma"/>
          <w:sz w:val="20"/>
          <w:szCs w:val="20"/>
        </w:rPr>
      </w:pPr>
      <w:r w:rsidRPr="00360455">
        <w:rPr>
          <w:rFonts w:ascii="Tahoma" w:hAnsi="Tahoma" w:cs="Tahoma"/>
          <w:sz w:val="20"/>
          <w:szCs w:val="20"/>
        </w:rPr>
        <w:t>El 17 de noviembre de 2010 se llevó a cabo la evaluación de propuestas.  En dicho acto, el Comité Especial descalificó a las empresas SG &amp; Courier S.R.L. y Servicios Logísticos de Courier del Perú S.A. y otorgó la buena pro a la empresa Opcion Post S.A.C., en adelante el Postor.</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spacing w:after="0" w:line="240" w:lineRule="auto"/>
        <w:ind w:left="720"/>
        <w:jc w:val="both"/>
        <w:rPr>
          <w:rFonts w:ascii="Tahoma" w:hAnsi="Tahoma" w:cs="Tahoma"/>
          <w:sz w:val="20"/>
          <w:szCs w:val="20"/>
        </w:rPr>
      </w:pPr>
      <w:r w:rsidRPr="00360455">
        <w:rPr>
          <w:rFonts w:ascii="Tahoma" w:hAnsi="Tahoma" w:cs="Tahoma"/>
          <w:sz w:val="20"/>
          <w:szCs w:val="20"/>
        </w:rPr>
        <w:t>Los resultados fueron publicados en la misma fecha en el SEACE.</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5"/>
        </w:numPr>
        <w:spacing w:after="0" w:line="240" w:lineRule="auto"/>
        <w:jc w:val="both"/>
        <w:rPr>
          <w:rFonts w:ascii="Tahoma" w:hAnsi="Tahoma" w:cs="Tahoma"/>
          <w:sz w:val="20"/>
          <w:szCs w:val="20"/>
        </w:rPr>
      </w:pPr>
      <w:r w:rsidRPr="00360455">
        <w:rPr>
          <w:rFonts w:ascii="Tahoma" w:hAnsi="Tahoma" w:cs="Tahoma"/>
          <w:sz w:val="20"/>
          <w:szCs w:val="20"/>
        </w:rPr>
        <w:t xml:space="preserve">A través de </w:t>
      </w:r>
      <w:smartTag w:uri="urn:schemas-microsoft-com:office:smarttags" w:element="PersonName">
        <w:smartTagPr>
          <w:attr w:name="ProductID" w:val="la Carta N"/>
        </w:smartTagPr>
        <w:r w:rsidRPr="00360455">
          <w:rPr>
            <w:rFonts w:ascii="Tahoma" w:hAnsi="Tahoma" w:cs="Tahoma"/>
            <w:sz w:val="20"/>
            <w:szCs w:val="20"/>
          </w:rPr>
          <w:t>la Carta N</w:t>
        </w:r>
      </w:smartTag>
      <w:r w:rsidRPr="00360455">
        <w:rPr>
          <w:rFonts w:ascii="Tahoma" w:hAnsi="Tahoma" w:cs="Tahoma"/>
          <w:sz w:val="20"/>
          <w:szCs w:val="20"/>
        </w:rPr>
        <w:t xml:space="preserve">º 649-2010-SUNAT-2L0100, notificada el 26 de noviembre de 2010,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comunicó al Postor que la buena pro otorgada a su favor quedó consentida</w:t>
      </w:r>
      <w:r w:rsidRPr="00360455">
        <w:rPr>
          <w:rStyle w:val="Refdenotaalpie"/>
          <w:rFonts w:ascii="Tahoma" w:hAnsi="Tahoma" w:cs="Tahoma"/>
          <w:sz w:val="20"/>
          <w:szCs w:val="20"/>
        </w:rPr>
        <w:footnoteReference w:id="2"/>
      </w:r>
      <w:r w:rsidRPr="00360455">
        <w:rPr>
          <w:rFonts w:ascii="Tahoma" w:hAnsi="Tahoma" w:cs="Tahoma"/>
          <w:sz w:val="20"/>
          <w:szCs w:val="20"/>
        </w:rPr>
        <w:t xml:space="preserve"> y citó a su representante para suscribir el contrato a más tardar el 13 de diciembre de 2010, previa presentación de los documentos correspondientes.</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5"/>
        </w:numPr>
        <w:spacing w:after="0" w:line="240" w:lineRule="auto"/>
        <w:jc w:val="both"/>
        <w:rPr>
          <w:rFonts w:ascii="Tahoma" w:hAnsi="Tahoma" w:cs="Tahoma"/>
          <w:sz w:val="20"/>
          <w:szCs w:val="20"/>
        </w:rPr>
      </w:pPr>
      <w:r w:rsidRPr="00360455">
        <w:rPr>
          <w:rFonts w:ascii="Tahoma" w:hAnsi="Tahoma" w:cs="Tahoma"/>
          <w:sz w:val="20"/>
          <w:szCs w:val="20"/>
        </w:rPr>
        <w:t xml:space="preserve">En respuesta, con Carta presentada el 09 de diciembre de 2010, el Postor manifestó a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que debido a </w:t>
      </w:r>
      <w:smartTag w:uri="urn:schemas-microsoft-com:office:smarttags" w:element="PersonName">
        <w:smartTagPr>
          <w:attr w:name="ProductID" w:val="la Resolución N"/>
        </w:smartTagPr>
        <w:r w:rsidRPr="00360455">
          <w:rPr>
            <w:rFonts w:ascii="Tahoma" w:hAnsi="Tahoma" w:cs="Tahoma"/>
            <w:sz w:val="20"/>
            <w:szCs w:val="20"/>
          </w:rPr>
          <w:t>la Resolución N</w:t>
        </w:r>
      </w:smartTag>
      <w:r w:rsidRPr="00360455">
        <w:rPr>
          <w:rFonts w:ascii="Tahoma" w:hAnsi="Tahoma" w:cs="Tahoma"/>
          <w:sz w:val="20"/>
          <w:szCs w:val="20"/>
        </w:rPr>
        <w:t>º 2108-2010-TC-S3, le es imposible suscribir el contrato por motivos ajenos a su voluntad.</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5"/>
        </w:numPr>
        <w:spacing w:after="0" w:line="240" w:lineRule="auto"/>
        <w:jc w:val="both"/>
        <w:rPr>
          <w:rFonts w:ascii="Tahoma" w:hAnsi="Tahoma" w:cs="Tahoma"/>
          <w:sz w:val="20"/>
          <w:szCs w:val="20"/>
        </w:rPr>
      </w:pPr>
      <w:r w:rsidRPr="00360455">
        <w:rPr>
          <w:rFonts w:ascii="Tahoma" w:hAnsi="Tahoma" w:cs="Tahoma"/>
          <w:sz w:val="20"/>
          <w:szCs w:val="20"/>
        </w:rPr>
        <w:t xml:space="preserve">Con Carta Nº 683-2010-SUNAT/2L0100, notificada el 14 de diciembre de 2010,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comunicó al Postor la pérdida de la buena pro, al no haber presentado la documentación para suscribirse el contrato, ni apersonado a su representante legal para la celebración de dicho acto, máxime si de la validación de su inscripción en el Registro Nacional de Proveedores se evidenció que se encuentra inhabilitada desde el 19 de noviembre de 2010 hasta el 18 de noviembre de 2011.</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5"/>
        </w:numPr>
        <w:spacing w:after="0" w:line="240" w:lineRule="auto"/>
        <w:jc w:val="both"/>
        <w:rPr>
          <w:rFonts w:ascii="Tahoma" w:hAnsi="Tahoma" w:cs="Tahoma"/>
          <w:sz w:val="20"/>
          <w:szCs w:val="20"/>
        </w:rPr>
      </w:pPr>
      <w:r w:rsidRPr="00360455">
        <w:rPr>
          <w:rFonts w:ascii="Tahoma" w:hAnsi="Tahoma" w:cs="Tahoma"/>
          <w:sz w:val="20"/>
          <w:szCs w:val="20"/>
        </w:rPr>
        <w:t xml:space="preserve">El 14 de diciembre de 2010,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declaró desierto el proceso de selección.</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5"/>
        </w:numPr>
        <w:spacing w:after="0" w:line="240" w:lineRule="auto"/>
        <w:jc w:val="both"/>
        <w:rPr>
          <w:rFonts w:ascii="Tahoma" w:hAnsi="Tahoma" w:cs="Tahoma"/>
          <w:sz w:val="20"/>
          <w:szCs w:val="20"/>
        </w:rPr>
      </w:pPr>
      <w:r w:rsidRPr="00360455">
        <w:rPr>
          <w:rFonts w:ascii="Tahoma" w:hAnsi="Tahoma" w:cs="Tahoma"/>
          <w:sz w:val="20"/>
          <w:szCs w:val="20"/>
        </w:rPr>
        <w:t xml:space="preserve">El 07 de febrero de 2011,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puso los hechos en conocimiento de este Tribunal y solicitó se imponga sanción administrativa al Postor por no suscribir injustificadamente el contrato.</w:t>
      </w:r>
    </w:p>
    <w:p w:rsidR="00360455" w:rsidRPr="00360455" w:rsidRDefault="00360455" w:rsidP="00360455">
      <w:pPr>
        <w:spacing w:after="0" w:line="240" w:lineRule="auto"/>
        <w:jc w:val="both"/>
        <w:rPr>
          <w:rFonts w:ascii="Tahoma" w:hAnsi="Tahoma" w:cs="Tahoma"/>
          <w:sz w:val="20"/>
          <w:szCs w:val="20"/>
        </w:rPr>
      </w:pPr>
    </w:p>
    <w:p w:rsidR="00360455" w:rsidRPr="00360455" w:rsidRDefault="00360455" w:rsidP="00360455">
      <w:pPr>
        <w:numPr>
          <w:ilvl w:val="0"/>
          <w:numId w:val="5"/>
        </w:numPr>
        <w:spacing w:after="0" w:line="240" w:lineRule="auto"/>
        <w:jc w:val="both"/>
        <w:rPr>
          <w:rFonts w:ascii="Tahoma" w:hAnsi="Tahoma" w:cs="Tahoma"/>
          <w:sz w:val="20"/>
          <w:szCs w:val="20"/>
        </w:rPr>
      </w:pPr>
      <w:r w:rsidRPr="00360455">
        <w:rPr>
          <w:rFonts w:ascii="Tahoma" w:hAnsi="Tahoma" w:cs="Tahoma"/>
          <w:sz w:val="20"/>
          <w:szCs w:val="20"/>
        </w:rPr>
        <w:t>Por decreto del 16 de febrero de 2011, el Tribunal inició procedimiento administrativo sancionador contra el Postor por supuesta responsabilidad al no suscribir injustificadamente el contrato; emplazándolo para que formule sus descargos en el plazo de diez (10) días, bajo apercibimiento de resolver el procedimiento con la documentación obrante en el expediente.</w:t>
      </w:r>
    </w:p>
    <w:p w:rsidR="00360455" w:rsidRPr="00360455" w:rsidRDefault="00360455" w:rsidP="00360455">
      <w:pPr>
        <w:spacing w:after="0" w:line="240" w:lineRule="auto"/>
        <w:jc w:val="both"/>
        <w:rPr>
          <w:rFonts w:ascii="Tahoma" w:hAnsi="Tahoma" w:cs="Tahoma"/>
          <w:sz w:val="20"/>
          <w:szCs w:val="20"/>
        </w:rPr>
      </w:pPr>
    </w:p>
    <w:p w:rsidR="00360455" w:rsidRPr="00360455" w:rsidRDefault="00360455" w:rsidP="00360455">
      <w:pPr>
        <w:numPr>
          <w:ilvl w:val="0"/>
          <w:numId w:val="5"/>
        </w:numPr>
        <w:spacing w:after="0" w:line="240" w:lineRule="auto"/>
        <w:jc w:val="both"/>
        <w:rPr>
          <w:rFonts w:ascii="Tahoma" w:hAnsi="Tahoma" w:cs="Tahoma"/>
          <w:sz w:val="20"/>
          <w:szCs w:val="20"/>
        </w:rPr>
      </w:pPr>
      <w:r w:rsidRPr="00360455">
        <w:rPr>
          <w:rFonts w:ascii="Tahoma" w:hAnsi="Tahoma" w:cs="Tahoma"/>
          <w:sz w:val="20"/>
          <w:szCs w:val="20"/>
        </w:rPr>
        <w:t xml:space="preserve">Con escrito presentado el 06 de junio de 2011 ante </w:t>
      </w:r>
      <w:smartTag w:uri="urn:schemas-microsoft-com:office:smarttags" w:element="PersonName">
        <w:smartTagPr>
          <w:attr w:name="ProductID" w:val="la Oficina Desconcentrada"/>
        </w:smartTagPr>
        <w:r w:rsidRPr="00360455">
          <w:rPr>
            <w:rFonts w:ascii="Tahoma" w:hAnsi="Tahoma" w:cs="Tahoma"/>
            <w:sz w:val="20"/>
            <w:szCs w:val="20"/>
          </w:rPr>
          <w:t>la Oficina Desconcentrada</w:t>
        </w:r>
      </w:smartTag>
      <w:r w:rsidRPr="00360455">
        <w:rPr>
          <w:rFonts w:ascii="Tahoma" w:hAnsi="Tahoma" w:cs="Tahoma"/>
          <w:sz w:val="20"/>
          <w:szCs w:val="20"/>
        </w:rPr>
        <w:t xml:space="preserve"> del OSCE, con sede en </w:t>
      </w:r>
      <w:smartTag w:uri="urn:schemas-microsoft-com:office:smarttags" w:element="PersonName">
        <w:smartTagPr>
          <w:attr w:name="ProductID" w:val="la Ciudad"/>
        </w:smartTagPr>
        <w:r w:rsidRPr="00360455">
          <w:rPr>
            <w:rFonts w:ascii="Tahoma" w:hAnsi="Tahoma" w:cs="Tahoma"/>
            <w:sz w:val="20"/>
            <w:szCs w:val="20"/>
          </w:rPr>
          <w:t>la Ciudad</w:t>
        </w:r>
      </w:smartTag>
      <w:r w:rsidRPr="00360455">
        <w:rPr>
          <w:rFonts w:ascii="Tahoma" w:hAnsi="Tahoma" w:cs="Tahoma"/>
          <w:sz w:val="20"/>
          <w:szCs w:val="20"/>
        </w:rPr>
        <w:t xml:space="preserve"> de Chiclayo, recibido por este Tribunal el 10 del mismo mes y año, el Postor se apersonó a la instancia y expuso sus descargos en los que solicitó se le exonere de responsabilidad administrativa, se le devuelva el monto de la garantía de seriedad de oferta indebidamente ejecutada y se le pague la suma de S/. 24 722,85  (Veinticuatro mil setecientos veintidós con 85/100 Nuevos Soles) por las utilidades dejadas de percibir (lucro cesante), por los fundamentos siguientes:</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7"/>
        </w:numPr>
        <w:spacing w:after="0" w:line="240" w:lineRule="auto"/>
        <w:jc w:val="both"/>
        <w:rPr>
          <w:rFonts w:ascii="Tahoma" w:hAnsi="Tahoma" w:cs="Tahoma"/>
          <w:sz w:val="20"/>
          <w:szCs w:val="20"/>
        </w:rPr>
      </w:pPr>
      <w:r w:rsidRPr="00360455">
        <w:rPr>
          <w:rFonts w:ascii="Tahoma" w:hAnsi="Tahoma" w:cs="Tahoma"/>
          <w:sz w:val="20"/>
          <w:szCs w:val="20"/>
        </w:rPr>
        <w:t>Primigeniamente, el 12 de marzo de 2010 se le otorgó la buena pro. Sin embargo, transcurridos los plazos no se le notificó para la suscripción del contrato, perjudicándosele económicamente.</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7"/>
        </w:numPr>
        <w:spacing w:after="0" w:line="240" w:lineRule="auto"/>
        <w:jc w:val="both"/>
        <w:rPr>
          <w:rFonts w:ascii="Tahoma" w:hAnsi="Tahoma" w:cs="Tahoma"/>
          <w:sz w:val="20"/>
          <w:szCs w:val="20"/>
        </w:rPr>
      </w:pPr>
      <w:r w:rsidRPr="00360455">
        <w:rPr>
          <w:rFonts w:ascii="Tahoma" w:hAnsi="Tahoma" w:cs="Tahoma"/>
          <w:sz w:val="20"/>
          <w:szCs w:val="20"/>
        </w:rPr>
        <w:lastRenderedPageBreak/>
        <w:t>Mediante Carta Nº 186-2010-SUNAT-2L0100 del 29 de abril de 2010 se le notificó que la buena pro quedó consentida y se le solicitó diversos documentos.  Sin embargo, esta etapa quedó suspendida por el Comité Especial a fin de dar respuesta a la carta presentada por la empresa S &amp; G Courier S.R.L. el 22 de marzo de 2010, en la que observó el plazo de vigencia de su garantía de seriedad de oferta.</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7"/>
        </w:numPr>
        <w:spacing w:after="0" w:line="240" w:lineRule="auto"/>
        <w:jc w:val="both"/>
        <w:rPr>
          <w:rFonts w:ascii="Tahoma" w:hAnsi="Tahoma" w:cs="Tahoma"/>
          <w:sz w:val="20"/>
          <w:szCs w:val="20"/>
        </w:rPr>
      </w:pPr>
      <w:r w:rsidRPr="00360455">
        <w:rPr>
          <w:rFonts w:ascii="Tahoma" w:hAnsi="Tahoma" w:cs="Tahoma"/>
          <w:sz w:val="20"/>
          <w:szCs w:val="20"/>
        </w:rPr>
        <w:t xml:space="preserve">Aproximadamente ocho (8) meses después de otorgada la buena pro, sin haberla consentido en el SEACE dentro del plazo que manda </w:t>
      </w:r>
      <w:smartTag w:uri="urn:schemas-microsoft-com:office:smarttags" w:element="PersonName">
        <w:smartTagPr>
          <w:attr w:name="ProductID" w:val="la Ley"/>
        </w:smartTagPr>
        <w:r w:rsidRPr="00360455">
          <w:rPr>
            <w:rFonts w:ascii="Tahoma" w:hAnsi="Tahoma" w:cs="Tahoma"/>
            <w:sz w:val="20"/>
            <w:szCs w:val="20"/>
          </w:rPr>
          <w:t>la Ley</w:t>
        </w:r>
      </w:smartTag>
      <w:r w:rsidRPr="00360455">
        <w:rPr>
          <w:rFonts w:ascii="Tahoma" w:hAnsi="Tahoma" w:cs="Tahoma"/>
          <w:sz w:val="20"/>
          <w:szCs w:val="20"/>
        </w:rPr>
        <w:t xml:space="preserve">, con Carta Nº 649-2010-SUNAT/2L0100 del 26 de noviembre de 2010,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le comunicó su voluntad de contratar, concediéndole el plazo hasta el 13 de diciembre de 2010.</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7"/>
        </w:numPr>
        <w:spacing w:after="0" w:line="240" w:lineRule="auto"/>
        <w:jc w:val="both"/>
        <w:rPr>
          <w:rFonts w:ascii="Tahoma" w:hAnsi="Tahoma" w:cs="Tahoma"/>
          <w:sz w:val="20"/>
          <w:szCs w:val="20"/>
        </w:rPr>
      </w:pPr>
      <w:r w:rsidRPr="00360455">
        <w:rPr>
          <w:rFonts w:ascii="Tahoma" w:hAnsi="Tahoma" w:cs="Tahoma"/>
          <w:sz w:val="20"/>
          <w:szCs w:val="20"/>
        </w:rPr>
        <w:t xml:space="preserve">Con Carta del 09 de diciembre de 2010, comunicó que no le era posible suscribir el contrato debido  a que estaba impedido para contratar con el Estado desde el 19 de noviembre de 2010 hasta el 18 de noviembre de 2011, según lo dispuesto en </w:t>
      </w:r>
      <w:smartTag w:uri="urn:schemas-microsoft-com:office:smarttags" w:element="PersonName">
        <w:smartTagPr>
          <w:attr w:name="ProductID" w:val="la Resolución N"/>
        </w:smartTagPr>
        <w:r w:rsidRPr="00360455">
          <w:rPr>
            <w:rFonts w:ascii="Tahoma" w:hAnsi="Tahoma" w:cs="Tahoma"/>
            <w:sz w:val="20"/>
            <w:szCs w:val="20"/>
          </w:rPr>
          <w:t>la Resolución N</w:t>
        </w:r>
      </w:smartTag>
      <w:r w:rsidRPr="00360455">
        <w:rPr>
          <w:rFonts w:ascii="Tahoma" w:hAnsi="Tahoma" w:cs="Tahoma"/>
          <w:sz w:val="20"/>
          <w:szCs w:val="20"/>
        </w:rPr>
        <w:t>º 2108-2010-TC-S2.</w:t>
      </w:r>
    </w:p>
    <w:p w:rsidR="00360455" w:rsidRPr="00360455" w:rsidRDefault="00360455" w:rsidP="00360455">
      <w:pPr>
        <w:spacing w:after="0" w:line="240" w:lineRule="auto"/>
        <w:ind w:left="1440"/>
        <w:jc w:val="both"/>
        <w:rPr>
          <w:rFonts w:ascii="Tahoma" w:hAnsi="Tahoma" w:cs="Tahoma"/>
          <w:sz w:val="20"/>
          <w:szCs w:val="20"/>
        </w:rPr>
      </w:pPr>
    </w:p>
    <w:p w:rsidR="00360455" w:rsidRPr="00360455" w:rsidRDefault="00360455" w:rsidP="00360455">
      <w:pPr>
        <w:numPr>
          <w:ilvl w:val="0"/>
          <w:numId w:val="5"/>
        </w:numPr>
        <w:spacing w:after="0" w:line="240" w:lineRule="auto"/>
        <w:jc w:val="both"/>
        <w:rPr>
          <w:rFonts w:ascii="Tahoma" w:hAnsi="Tahoma" w:cs="Tahoma"/>
          <w:sz w:val="20"/>
          <w:szCs w:val="20"/>
        </w:rPr>
      </w:pPr>
      <w:r w:rsidRPr="00360455">
        <w:rPr>
          <w:rFonts w:ascii="Tahoma" w:hAnsi="Tahoma" w:cs="Tahoma"/>
          <w:sz w:val="20"/>
          <w:szCs w:val="20"/>
        </w:rPr>
        <w:t xml:space="preserve">Por decreto del 15 de junio de 2011, se apersonó al Postor, teniéndose por presentados sus descargos, por señalado su domicilio procesal y se remitió el expediente a </w:t>
      </w:r>
      <w:smartTag w:uri="urn:schemas-microsoft-com:office:smarttags" w:element="PersonName">
        <w:smartTagPr>
          <w:attr w:name="ProductID" w:val="LA PRIMERA SALA"/>
        </w:smartTagPr>
        <w:r w:rsidRPr="00360455">
          <w:rPr>
            <w:rFonts w:ascii="Tahoma" w:hAnsi="Tahoma" w:cs="Tahoma"/>
            <w:sz w:val="20"/>
            <w:szCs w:val="20"/>
          </w:rPr>
          <w:t>la Primera Sala</w:t>
        </w:r>
      </w:smartTag>
      <w:r w:rsidRPr="00360455">
        <w:rPr>
          <w:rFonts w:ascii="Tahoma" w:hAnsi="Tahoma" w:cs="Tahoma"/>
          <w:sz w:val="20"/>
          <w:szCs w:val="20"/>
        </w:rPr>
        <w:t xml:space="preserve"> del Tribunal para que resuelva.</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tabs>
          <w:tab w:val="num" w:pos="9720"/>
        </w:tabs>
        <w:spacing w:after="0" w:line="240" w:lineRule="auto"/>
        <w:jc w:val="both"/>
        <w:rPr>
          <w:rFonts w:ascii="Tahoma" w:hAnsi="Tahoma" w:cs="Tahoma"/>
          <w:b/>
          <w:sz w:val="20"/>
          <w:szCs w:val="20"/>
        </w:rPr>
      </w:pPr>
      <w:r w:rsidRPr="00360455">
        <w:rPr>
          <w:rFonts w:ascii="Tahoma" w:hAnsi="Tahoma" w:cs="Tahoma"/>
          <w:b/>
          <w:sz w:val="20"/>
          <w:szCs w:val="20"/>
        </w:rPr>
        <w:t>FUNDAMENTACIÓN:</w:t>
      </w:r>
    </w:p>
    <w:p w:rsidR="00360455" w:rsidRPr="00360455" w:rsidRDefault="00360455" w:rsidP="00360455">
      <w:pPr>
        <w:spacing w:after="0" w:line="240" w:lineRule="auto"/>
        <w:jc w:val="both"/>
        <w:rPr>
          <w:rFonts w:ascii="Tahoma" w:hAnsi="Tahoma" w:cs="Tahoma"/>
          <w:b/>
          <w:sz w:val="20"/>
          <w:szCs w:val="20"/>
        </w:rPr>
      </w:pPr>
    </w:p>
    <w:p w:rsidR="00360455" w:rsidRPr="00360455" w:rsidRDefault="00360455" w:rsidP="00360455">
      <w:pPr>
        <w:widowControl w:val="0"/>
        <w:numPr>
          <w:ilvl w:val="0"/>
          <w:numId w:val="8"/>
        </w:numPr>
        <w:suppressAutoHyphens/>
        <w:spacing w:after="0" w:line="240" w:lineRule="auto"/>
        <w:jc w:val="both"/>
        <w:rPr>
          <w:rFonts w:ascii="Tahoma" w:hAnsi="Tahoma" w:cs="Tahoma"/>
          <w:sz w:val="20"/>
          <w:szCs w:val="20"/>
        </w:rPr>
      </w:pPr>
      <w:r w:rsidRPr="00360455">
        <w:rPr>
          <w:rFonts w:ascii="Tahoma" w:eastAsia="Times New Roman" w:hAnsi="Tahoma" w:cs="Tahoma"/>
          <w:sz w:val="20"/>
          <w:szCs w:val="20"/>
          <w:lang w:val="es-ES_tradnl" w:eastAsia="es-ES"/>
        </w:rPr>
        <w:t xml:space="preserve">El presente procedimiento ha sido iniciado para determinar si el Postor ha incurrido en responsabilidad por no suscribir injustificadamente el contrato </w:t>
      </w:r>
      <w:smartTag w:uri="urn:schemas-microsoft-com:office:smarttags" w:element="PersonName">
        <w:smartTagPr>
          <w:attr w:name="ProductID" w:val="la Adjudicación Directa"/>
        </w:smartTagPr>
        <w:r w:rsidRPr="00360455">
          <w:rPr>
            <w:rFonts w:ascii="Tahoma" w:eastAsia="Times New Roman" w:hAnsi="Tahoma" w:cs="Tahoma"/>
            <w:sz w:val="20"/>
            <w:szCs w:val="20"/>
            <w:lang w:eastAsia="es-ES"/>
          </w:rPr>
          <w:t>la Adjudicación Directa</w:t>
        </w:r>
      </w:smartTag>
      <w:r w:rsidRPr="00360455">
        <w:rPr>
          <w:rFonts w:ascii="Tahoma" w:eastAsia="Times New Roman" w:hAnsi="Tahoma" w:cs="Tahoma"/>
          <w:sz w:val="20"/>
          <w:szCs w:val="20"/>
          <w:lang w:eastAsia="es-ES"/>
        </w:rPr>
        <w:t xml:space="preserve"> Selectiva Nº 002-2010-SUNAT/2L0000 para contratar el servicio de transporte de bienes y equipos y distribución de paquetes para </w:t>
      </w:r>
      <w:smartTag w:uri="urn:schemas-microsoft-com:office:smarttags" w:element="PersonName">
        <w:smartTagPr>
          <w:attr w:name="ProductID" w:val="la Intendencia Regional"/>
        </w:smartTagPr>
        <w:r w:rsidRPr="00360455">
          <w:rPr>
            <w:rFonts w:ascii="Tahoma" w:eastAsia="Times New Roman" w:hAnsi="Tahoma" w:cs="Tahoma"/>
            <w:sz w:val="20"/>
            <w:szCs w:val="20"/>
            <w:lang w:eastAsia="es-ES"/>
          </w:rPr>
          <w:t>la Intendencia Regional</w:t>
        </w:r>
      </w:smartTag>
      <w:r w:rsidRPr="00360455">
        <w:rPr>
          <w:rFonts w:ascii="Tahoma" w:eastAsia="Times New Roman" w:hAnsi="Tahoma" w:cs="Tahoma"/>
          <w:sz w:val="20"/>
          <w:szCs w:val="20"/>
          <w:lang w:eastAsia="es-ES"/>
        </w:rPr>
        <w:t xml:space="preserve"> de Lambayeque y Jurisdicción Administrativa</w:t>
      </w:r>
      <w:r w:rsidRPr="00360455">
        <w:rPr>
          <w:rFonts w:ascii="Tahoma" w:eastAsia="Times New Roman" w:hAnsi="Tahoma" w:cs="Tahoma"/>
          <w:sz w:val="20"/>
          <w:szCs w:val="20"/>
          <w:lang w:val="es-ES_tradnl" w:eastAsia="es-ES"/>
        </w:rPr>
        <w:t xml:space="preserve">; infracción tipificada </w:t>
      </w:r>
      <w:r w:rsidRPr="00360455">
        <w:rPr>
          <w:rFonts w:ascii="Tahoma" w:hAnsi="Tahoma" w:cs="Tahoma"/>
          <w:sz w:val="20"/>
          <w:szCs w:val="20"/>
        </w:rPr>
        <w:t xml:space="preserve">en el literal i) del numeral 1) del artículo 51 de </w:t>
      </w:r>
      <w:smartTag w:uri="urn:schemas-microsoft-com:office:smarttags" w:element="PersonName">
        <w:smartTagPr>
          <w:attr w:name="ProductID" w:val="la Ley"/>
        </w:smartTagPr>
        <w:r w:rsidRPr="00360455">
          <w:rPr>
            <w:rFonts w:ascii="Tahoma" w:hAnsi="Tahoma" w:cs="Tahoma"/>
            <w:sz w:val="20"/>
            <w:szCs w:val="20"/>
          </w:rPr>
          <w:t>la Ley</w:t>
        </w:r>
      </w:smartTag>
      <w:r w:rsidRPr="00360455">
        <w:rPr>
          <w:rFonts w:ascii="Tahoma" w:hAnsi="Tahoma" w:cs="Tahoma"/>
          <w:sz w:val="20"/>
          <w:szCs w:val="20"/>
        </w:rPr>
        <w:t xml:space="preserve"> de Contrataciones del Estado, aprobado por Decreto Legislativo Nº 1017, norma vigente al configurarse los hechos.</w:t>
      </w:r>
    </w:p>
    <w:p w:rsidR="00360455" w:rsidRPr="00360455" w:rsidRDefault="00360455" w:rsidP="00360455">
      <w:pPr>
        <w:widowControl w:val="0"/>
        <w:suppressAutoHyphens/>
        <w:spacing w:after="0" w:line="240" w:lineRule="auto"/>
        <w:ind w:left="720"/>
        <w:jc w:val="both"/>
        <w:rPr>
          <w:rFonts w:ascii="Tahoma" w:hAnsi="Tahoma" w:cs="Tahoma"/>
          <w:sz w:val="20"/>
          <w:szCs w:val="20"/>
        </w:rPr>
      </w:pPr>
    </w:p>
    <w:p w:rsidR="00360455" w:rsidRPr="00360455" w:rsidRDefault="00360455" w:rsidP="00360455">
      <w:pPr>
        <w:widowControl w:val="0"/>
        <w:numPr>
          <w:ilvl w:val="0"/>
          <w:numId w:val="8"/>
        </w:numPr>
        <w:suppressAutoHyphens/>
        <w:spacing w:after="0" w:line="240" w:lineRule="auto"/>
        <w:jc w:val="both"/>
        <w:rPr>
          <w:rFonts w:ascii="Tahoma" w:hAnsi="Tahoma" w:cs="Tahoma"/>
          <w:sz w:val="20"/>
          <w:szCs w:val="20"/>
        </w:rPr>
      </w:pPr>
      <w:r w:rsidRPr="00360455">
        <w:rPr>
          <w:rFonts w:ascii="Tahoma" w:hAnsi="Tahoma" w:cs="Tahoma"/>
          <w:sz w:val="20"/>
          <w:szCs w:val="20"/>
        </w:rPr>
        <w:t xml:space="preserve">En principio, cabe precisar que con el otorgamiento de la buena pro se genera el derecho del postor ganador del proceso de celebrar el contrato con </w:t>
      </w:r>
      <w:smartTag w:uri="urn:schemas-microsoft-com:office:smarttags" w:element="PersonName">
        <w:smartTagPr>
          <w:attr w:name="ProductID" w:val="la Entidad. Sin"/>
        </w:smartTagPr>
        <w:r w:rsidRPr="00360455">
          <w:rPr>
            <w:rFonts w:ascii="Tahoma" w:hAnsi="Tahoma" w:cs="Tahoma"/>
            <w:sz w:val="20"/>
            <w:szCs w:val="20"/>
          </w:rPr>
          <w:t>la Entidad. Sin</w:t>
        </w:r>
      </w:smartTag>
      <w:r w:rsidRPr="00360455">
        <w:rPr>
          <w:rFonts w:ascii="Tahoma" w:hAnsi="Tahoma" w:cs="Tahoma"/>
          <w:sz w:val="20"/>
          <w:szCs w:val="20"/>
        </w:rPr>
        <w:t xml:space="preserve"> embargo, la suscripción del contrato, además de un derecho, constituye una obligación del postor, quien como participante del proceso de selección, asume el compromiso de mantener la seriedad de su oferta hasta la suscripción de contrato respectivo.</w:t>
      </w:r>
    </w:p>
    <w:p w:rsidR="00360455" w:rsidRPr="00360455" w:rsidRDefault="00360455" w:rsidP="00360455">
      <w:pPr>
        <w:widowControl w:val="0"/>
        <w:suppressAutoHyphens/>
        <w:spacing w:after="0" w:line="240" w:lineRule="auto"/>
        <w:ind w:left="720"/>
        <w:jc w:val="both"/>
        <w:rPr>
          <w:rFonts w:ascii="Tahoma" w:hAnsi="Tahoma" w:cs="Tahoma"/>
          <w:sz w:val="20"/>
          <w:szCs w:val="20"/>
        </w:rPr>
      </w:pPr>
    </w:p>
    <w:p w:rsidR="00360455" w:rsidRPr="00360455" w:rsidRDefault="00360455" w:rsidP="00360455">
      <w:pPr>
        <w:widowControl w:val="0"/>
        <w:numPr>
          <w:ilvl w:val="0"/>
          <w:numId w:val="8"/>
        </w:numPr>
        <w:suppressAutoHyphens/>
        <w:spacing w:after="0" w:line="240" w:lineRule="auto"/>
        <w:jc w:val="both"/>
        <w:rPr>
          <w:rFonts w:ascii="Tahoma" w:hAnsi="Tahoma" w:cs="Tahoma"/>
          <w:sz w:val="20"/>
          <w:szCs w:val="20"/>
        </w:rPr>
      </w:pPr>
      <w:r w:rsidRPr="00360455">
        <w:rPr>
          <w:rFonts w:ascii="Tahoma" w:hAnsi="Tahoma" w:cs="Tahoma"/>
          <w:sz w:val="20"/>
          <w:szCs w:val="20"/>
        </w:rPr>
        <w:t xml:space="preserve">En ese sentido, de conformidad con lo establecido en el artículo 137 del Reglamento, una vez que el otorgamiento de la buena pro ha quedado consentido o administrativamente firme, tanto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como el o los postores ganadores </w:t>
      </w:r>
      <w:r w:rsidRPr="00360455">
        <w:rPr>
          <w:rFonts w:ascii="Tahoma" w:hAnsi="Tahoma" w:cs="Tahoma"/>
          <w:b/>
          <w:sz w:val="20"/>
          <w:szCs w:val="20"/>
          <w:u w:val="single"/>
        </w:rPr>
        <w:t>están obligados a suscribir el o los contratos respectivos</w:t>
      </w:r>
      <w:r w:rsidRPr="00360455">
        <w:rPr>
          <w:rFonts w:ascii="Tahoma" w:hAnsi="Tahoma" w:cs="Tahoma"/>
          <w:sz w:val="20"/>
          <w:szCs w:val="20"/>
        </w:rPr>
        <w:t>.</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8"/>
        </w:numPr>
        <w:spacing w:after="0" w:line="240" w:lineRule="auto"/>
        <w:jc w:val="both"/>
        <w:rPr>
          <w:rFonts w:ascii="Tahoma" w:hAnsi="Tahoma" w:cs="Tahoma"/>
          <w:sz w:val="20"/>
          <w:szCs w:val="20"/>
        </w:rPr>
      </w:pPr>
      <w:r w:rsidRPr="00360455">
        <w:rPr>
          <w:rFonts w:ascii="Tahoma" w:hAnsi="Tahoma" w:cs="Tahoma"/>
          <w:sz w:val="20"/>
          <w:szCs w:val="20"/>
        </w:rPr>
        <w:t xml:space="preserve">Como parte de dicha obligación, compete a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y al postor adjudicatario observar el procedimiento establecido en el artículo 148 del Reglamento para el perfeccionamiento del contrato.</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8"/>
        </w:numPr>
        <w:spacing w:after="0" w:line="240" w:lineRule="auto"/>
        <w:jc w:val="both"/>
        <w:rPr>
          <w:rFonts w:ascii="Tahoma" w:hAnsi="Tahoma" w:cs="Tahoma"/>
          <w:sz w:val="20"/>
          <w:szCs w:val="20"/>
        </w:rPr>
      </w:pPr>
      <w:r w:rsidRPr="00360455">
        <w:rPr>
          <w:rFonts w:ascii="Tahoma" w:hAnsi="Tahoma" w:cs="Tahoma"/>
          <w:sz w:val="20"/>
          <w:szCs w:val="20"/>
        </w:rPr>
        <w:lastRenderedPageBreak/>
        <w:t xml:space="preserve">El procedimiento para suscribir el contrato ha sido previsto en el numeral 1) del artículo 148 del Reglamento, el cual dispone que dentro de los dos (2) días hábiles siguientes al consentimiento de la buena pro,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deberá citar al postor ganador, otorgándole un plazo mínimo de cinco (5) días hábiles y máximo de diez (10) días hábiles para suscribir el contrato.  No obstante, si dicho postor tuviera antes del plazo mínimo establecido la documentación completa requerida, podrá presentarse a suscribir el contrato. El citado dispositivo reglamentario precisa que, en caso de que el postor no se presente dentro del plazo otorgado, perderá automáticamente la buena pro, sin perjuicio de la imposición administrativamente aplicable.</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spacing w:after="0" w:line="240" w:lineRule="auto"/>
        <w:ind w:left="720"/>
        <w:jc w:val="both"/>
        <w:rPr>
          <w:rFonts w:ascii="Tahoma" w:hAnsi="Tahoma" w:cs="Tahoma"/>
          <w:sz w:val="20"/>
          <w:szCs w:val="20"/>
        </w:rPr>
      </w:pPr>
      <w:r w:rsidRPr="00360455">
        <w:rPr>
          <w:rFonts w:ascii="Tahoma" w:hAnsi="Tahoma" w:cs="Tahoma"/>
          <w:sz w:val="20"/>
          <w:szCs w:val="20"/>
        </w:rPr>
        <w:t xml:space="preserve">El cumplimiento de este procedimiento es </w:t>
      </w:r>
      <w:r w:rsidRPr="00360455">
        <w:rPr>
          <w:rFonts w:ascii="Tahoma" w:hAnsi="Tahoma" w:cs="Tahoma"/>
          <w:b/>
          <w:i/>
          <w:sz w:val="20"/>
          <w:szCs w:val="20"/>
        </w:rPr>
        <w:t>condición necesaria</w:t>
      </w:r>
      <w:r w:rsidRPr="00360455">
        <w:rPr>
          <w:rFonts w:ascii="Tahoma" w:hAnsi="Tahoma" w:cs="Tahoma"/>
          <w:sz w:val="20"/>
          <w:szCs w:val="20"/>
        </w:rPr>
        <w:t xml:space="preserve"> para evaluar la existencia de eventuales responsabilidades por la comisión de la infracción tipificada en el numeral 51.1) literal a) del artículo 51 de </w:t>
      </w:r>
      <w:smartTag w:uri="urn:schemas-microsoft-com:office:smarttags" w:element="PersonName">
        <w:smartTagPr>
          <w:attr w:name="ProductID" w:val="la Ley"/>
        </w:smartTagPr>
        <w:r w:rsidRPr="00360455">
          <w:rPr>
            <w:rFonts w:ascii="Tahoma" w:hAnsi="Tahoma" w:cs="Tahoma"/>
            <w:sz w:val="20"/>
            <w:szCs w:val="20"/>
          </w:rPr>
          <w:t>la Ley</w:t>
        </w:r>
      </w:smartTag>
      <w:r w:rsidRPr="00360455">
        <w:rPr>
          <w:rFonts w:ascii="Tahoma" w:hAnsi="Tahoma" w:cs="Tahoma"/>
          <w:sz w:val="20"/>
          <w:szCs w:val="20"/>
        </w:rPr>
        <w:t xml:space="preserve"> y numeral 1) literal a) del artículo 237 del Reglamento.</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8"/>
        </w:numPr>
        <w:spacing w:after="0" w:line="240" w:lineRule="auto"/>
        <w:jc w:val="both"/>
        <w:rPr>
          <w:rFonts w:ascii="Tahoma" w:hAnsi="Tahoma" w:cs="Tahoma"/>
          <w:sz w:val="20"/>
          <w:szCs w:val="20"/>
        </w:rPr>
      </w:pPr>
      <w:r w:rsidRPr="00360455">
        <w:rPr>
          <w:rFonts w:ascii="Tahoma" w:hAnsi="Tahoma" w:cs="Tahoma"/>
          <w:sz w:val="20"/>
          <w:szCs w:val="20"/>
        </w:rPr>
        <w:t>Este criterio ha sido recogido, además, en el Acuerdo de Sala Plena N.º 007/2009</w:t>
      </w:r>
      <w:r w:rsidRPr="00360455">
        <w:rPr>
          <w:rStyle w:val="Refdenotaalpie"/>
          <w:rFonts w:ascii="Tahoma" w:hAnsi="Tahoma" w:cs="Tahoma"/>
          <w:sz w:val="20"/>
          <w:szCs w:val="20"/>
        </w:rPr>
        <w:footnoteReference w:id="3"/>
      </w:r>
      <w:r w:rsidRPr="00360455">
        <w:rPr>
          <w:rFonts w:ascii="Tahoma" w:hAnsi="Tahoma" w:cs="Tahoma"/>
          <w:sz w:val="20"/>
          <w:szCs w:val="20"/>
        </w:rPr>
        <w:t xml:space="preserve"> del 25 de junio de 2009, en el que, por mayoría, se dispuso que </w:t>
      </w:r>
      <w:r w:rsidRPr="00360455">
        <w:rPr>
          <w:rFonts w:ascii="Tahoma" w:hAnsi="Tahoma" w:cs="Tahoma"/>
          <w:i/>
          <w:sz w:val="20"/>
          <w:szCs w:val="20"/>
        </w:rPr>
        <w:t>“(…) en los casos en se comunique la no suscripción injustificada el contrato, las Entidades están obligadas a cumplir y observar estrictamente los plazos y el procedimiento establecido en la normativa para llevar a cabo dicha suscripción, procedimiento cuya inobservancia acarrea la exención de responsabilidad del postor, debiendo declararse no ha lugar la imposición de Sanción o el no ha lugar el inicio del procedimiento administrativo sancionador, sin perjuicio de la responsabilidad administrativa de los funcionarios responsables”</w:t>
      </w:r>
      <w:r w:rsidRPr="00360455">
        <w:rPr>
          <w:rFonts w:ascii="Tahoma" w:hAnsi="Tahoma" w:cs="Tahoma"/>
          <w:sz w:val="20"/>
          <w:szCs w:val="20"/>
        </w:rPr>
        <w:t>.</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8"/>
        </w:numPr>
        <w:spacing w:after="0" w:line="240" w:lineRule="auto"/>
        <w:jc w:val="both"/>
        <w:rPr>
          <w:rFonts w:ascii="Tahoma" w:hAnsi="Tahoma" w:cs="Tahoma"/>
          <w:sz w:val="20"/>
          <w:szCs w:val="20"/>
        </w:rPr>
      </w:pPr>
      <w:r w:rsidRPr="00360455">
        <w:rPr>
          <w:rFonts w:ascii="Tahoma" w:hAnsi="Tahoma" w:cs="Tahoma"/>
          <w:sz w:val="20"/>
          <w:szCs w:val="20"/>
        </w:rPr>
        <w:t xml:space="preserve">En ese orden de ideas, corresponde determinar de manera previa, si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ha seguido el debido procedimiento para suscribir el contrato.</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8"/>
        </w:numPr>
        <w:spacing w:after="0" w:line="240" w:lineRule="auto"/>
        <w:jc w:val="both"/>
        <w:rPr>
          <w:rFonts w:ascii="Tahoma" w:hAnsi="Tahoma" w:cs="Tahoma"/>
          <w:sz w:val="20"/>
          <w:szCs w:val="20"/>
        </w:rPr>
      </w:pPr>
      <w:r w:rsidRPr="00360455">
        <w:rPr>
          <w:rFonts w:ascii="Tahoma" w:hAnsi="Tahoma" w:cs="Tahoma"/>
          <w:sz w:val="20"/>
          <w:szCs w:val="20"/>
        </w:rPr>
        <w:t>De la revisión de los antecedentes administrativos, se aprecia que el otorgamiento de la buena pro se realizó en acto privado del 17 de noviembre de 2010, entendiéndose que éste fue notificado a través de su publicación en el SEACE efectuada en la misma fecha de conformidad con lo dispuesto en el artículo 75</w:t>
      </w:r>
      <w:r w:rsidRPr="00360455">
        <w:rPr>
          <w:rStyle w:val="Refdenotaalpie"/>
          <w:rFonts w:ascii="Tahoma" w:hAnsi="Tahoma" w:cs="Tahoma"/>
          <w:sz w:val="20"/>
          <w:szCs w:val="20"/>
        </w:rPr>
        <w:footnoteReference w:id="4"/>
      </w:r>
      <w:r w:rsidRPr="00360455">
        <w:rPr>
          <w:rFonts w:ascii="Tahoma" w:hAnsi="Tahoma" w:cs="Tahoma"/>
          <w:sz w:val="20"/>
          <w:szCs w:val="20"/>
        </w:rPr>
        <w:t xml:space="preserve"> del Reglamento.  Por consiguiente, de conformidad con lo dispuesto en el artículo 77</w:t>
      </w:r>
      <w:r w:rsidRPr="00360455">
        <w:rPr>
          <w:rStyle w:val="Refdenotaalpie"/>
          <w:rFonts w:ascii="Tahoma" w:hAnsi="Tahoma" w:cs="Tahoma"/>
          <w:sz w:val="20"/>
          <w:szCs w:val="20"/>
        </w:rPr>
        <w:footnoteReference w:id="5"/>
      </w:r>
      <w:r w:rsidRPr="00360455">
        <w:rPr>
          <w:rFonts w:ascii="Tahoma" w:hAnsi="Tahoma" w:cs="Tahoma"/>
          <w:sz w:val="20"/>
          <w:szCs w:val="20"/>
        </w:rPr>
        <w:t xml:space="preserve"> </w:t>
      </w:r>
      <w:r w:rsidRPr="00360455">
        <w:rPr>
          <w:rFonts w:ascii="Tahoma" w:hAnsi="Tahoma" w:cs="Tahoma"/>
          <w:sz w:val="20"/>
          <w:szCs w:val="20"/>
        </w:rPr>
        <w:lastRenderedPageBreak/>
        <w:t xml:space="preserve">del mismo cuerpo normativo, al haberse presentado más de dos (2) propuestas, el consentimiento de la buena pro se produjo el 24 de noviembre de 2010; razón por la cual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debió citar al Postor </w:t>
      </w:r>
      <w:r w:rsidRPr="00360455">
        <w:rPr>
          <w:rFonts w:ascii="Tahoma" w:hAnsi="Tahoma" w:cs="Tahoma"/>
          <w:sz w:val="20"/>
          <w:szCs w:val="20"/>
          <w:u w:val="single"/>
        </w:rPr>
        <w:t>a más tardar el 26 de noviembre de 2010.</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8"/>
        </w:numPr>
        <w:spacing w:after="0" w:line="240" w:lineRule="auto"/>
        <w:jc w:val="both"/>
        <w:rPr>
          <w:rFonts w:ascii="Tahoma" w:hAnsi="Tahoma" w:cs="Tahoma"/>
          <w:sz w:val="20"/>
          <w:szCs w:val="20"/>
        </w:rPr>
      </w:pPr>
      <w:r w:rsidRPr="00360455">
        <w:rPr>
          <w:rFonts w:ascii="Tahoma" w:hAnsi="Tahoma" w:cs="Tahoma"/>
          <w:sz w:val="20"/>
          <w:szCs w:val="20"/>
        </w:rPr>
        <w:t xml:space="preserve">De la revisión de los antecedentes reseñados, se advierte que mediante </w:t>
      </w:r>
      <w:r w:rsidRPr="00360455">
        <w:rPr>
          <w:rFonts w:ascii="Tahoma" w:hAnsi="Tahoma" w:cs="Tahoma"/>
          <w:b/>
          <w:sz w:val="20"/>
          <w:szCs w:val="20"/>
        </w:rPr>
        <w:t>Carta Nº 649-2010-SUNAT-2L0100</w:t>
      </w:r>
      <w:r w:rsidRPr="00360455">
        <w:rPr>
          <w:rStyle w:val="Refdenotaalpie"/>
          <w:rFonts w:ascii="Tahoma" w:hAnsi="Tahoma" w:cs="Tahoma"/>
          <w:b/>
          <w:sz w:val="20"/>
          <w:szCs w:val="20"/>
        </w:rPr>
        <w:footnoteReference w:id="6"/>
      </w:r>
      <w:r w:rsidRPr="00360455">
        <w:rPr>
          <w:rFonts w:ascii="Tahoma" w:hAnsi="Tahoma" w:cs="Tahoma"/>
          <w:b/>
          <w:sz w:val="20"/>
          <w:szCs w:val="20"/>
        </w:rPr>
        <w:t>, notificada el 26 de noviembre de 2010</w:t>
      </w:r>
      <w:r w:rsidRPr="00360455">
        <w:rPr>
          <w:rFonts w:ascii="Tahoma" w:hAnsi="Tahoma" w:cs="Tahoma"/>
          <w:sz w:val="20"/>
          <w:szCs w:val="20"/>
        </w:rPr>
        <w:t xml:space="preserve">,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comunicó al Postor que la buena pro otorgada a su favor quedó consentida y citó a su representante para suscribir el contrato a más tardar el 13 de diciembre de 2010 (10 días hábiles), previa presentación de los documentos correspondientes.</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8"/>
        </w:numPr>
        <w:spacing w:after="0" w:line="240" w:lineRule="auto"/>
        <w:jc w:val="both"/>
        <w:rPr>
          <w:rFonts w:ascii="Tahoma" w:hAnsi="Tahoma" w:cs="Tahoma"/>
          <w:sz w:val="20"/>
          <w:szCs w:val="20"/>
        </w:rPr>
      </w:pPr>
      <w:r w:rsidRPr="00360455">
        <w:rPr>
          <w:rFonts w:ascii="Tahoma" w:hAnsi="Tahoma" w:cs="Tahoma"/>
          <w:sz w:val="20"/>
          <w:szCs w:val="20"/>
        </w:rPr>
        <w:t xml:space="preserve">En virtud a lo expuesto, se advierte que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siguió el procedimiento para suscribir el contrato, en estricta observancia del artículo 148 del Reglamento; motivo por el cual corresponde a esta Sala determinar si dicha omisión resultó justificada o no, toda vez que </w:t>
      </w:r>
      <w:r w:rsidRPr="00360455">
        <w:rPr>
          <w:rFonts w:ascii="Tahoma" w:hAnsi="Tahoma" w:cs="Tahoma"/>
          <w:b/>
          <w:sz w:val="20"/>
          <w:szCs w:val="20"/>
        </w:rPr>
        <w:t xml:space="preserve">en caso el o los postores ganadores de la buena pro se nieguen a suscribir el contrato, serán pasibles de sanción, salvo imposibilidad física o jurídica </w:t>
      </w:r>
      <w:r w:rsidRPr="00360455">
        <w:rPr>
          <w:rFonts w:ascii="Tahoma" w:hAnsi="Tahoma" w:cs="Tahoma"/>
          <w:b/>
          <w:i/>
          <w:sz w:val="20"/>
          <w:szCs w:val="20"/>
        </w:rPr>
        <w:t>sobrevenida</w:t>
      </w:r>
      <w:r w:rsidRPr="00360455">
        <w:rPr>
          <w:rFonts w:ascii="Tahoma" w:hAnsi="Tahoma" w:cs="Tahoma"/>
          <w:b/>
          <w:sz w:val="20"/>
          <w:szCs w:val="20"/>
        </w:rPr>
        <w:t xml:space="preserve"> al otorgamiento de la buena pro que no le es atribuible, declarada por el Tribunal</w:t>
      </w:r>
      <w:r w:rsidRPr="00360455">
        <w:rPr>
          <w:rFonts w:ascii="Tahoma" w:hAnsi="Tahoma" w:cs="Tahoma"/>
          <w:sz w:val="20"/>
          <w:szCs w:val="20"/>
        </w:rPr>
        <w:t>, de conformidad al artículo 137</w:t>
      </w:r>
      <w:r w:rsidRPr="00360455">
        <w:rPr>
          <w:rStyle w:val="Refdenotaalpie"/>
          <w:rFonts w:ascii="Tahoma" w:hAnsi="Tahoma" w:cs="Tahoma"/>
          <w:sz w:val="20"/>
          <w:szCs w:val="20"/>
        </w:rPr>
        <w:footnoteReference w:id="7"/>
      </w:r>
      <w:r w:rsidRPr="00360455">
        <w:rPr>
          <w:rFonts w:ascii="Tahoma" w:hAnsi="Tahoma" w:cs="Tahoma"/>
          <w:sz w:val="20"/>
          <w:szCs w:val="20"/>
        </w:rPr>
        <w:t xml:space="preserve"> del Reglamento.</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8"/>
        </w:numPr>
        <w:spacing w:after="0" w:line="240" w:lineRule="auto"/>
        <w:jc w:val="both"/>
        <w:rPr>
          <w:rFonts w:ascii="Tahoma" w:hAnsi="Tahoma" w:cs="Tahoma"/>
          <w:sz w:val="20"/>
          <w:szCs w:val="20"/>
        </w:rPr>
      </w:pPr>
      <w:r w:rsidRPr="00360455">
        <w:rPr>
          <w:rFonts w:ascii="Tahoma" w:hAnsi="Tahoma" w:cs="Tahoma"/>
          <w:sz w:val="20"/>
          <w:szCs w:val="20"/>
        </w:rPr>
        <w:t xml:space="preserve">En el caso de autos, sostuvo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que el Postor no se apersonó a suscribir el contrato, ni presentó la documentación requerida, puesto que manifestó que se encontraba inhabilitado para contratar con el Estado desde el 19 de noviembre de 2010.</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8"/>
        </w:numPr>
        <w:spacing w:after="0" w:line="240" w:lineRule="auto"/>
        <w:jc w:val="both"/>
        <w:rPr>
          <w:rFonts w:ascii="Tahoma" w:hAnsi="Tahoma" w:cs="Tahoma"/>
          <w:sz w:val="20"/>
          <w:szCs w:val="20"/>
        </w:rPr>
      </w:pPr>
      <w:r w:rsidRPr="00360455">
        <w:rPr>
          <w:rFonts w:ascii="Tahoma" w:hAnsi="Tahoma" w:cs="Tahoma"/>
          <w:sz w:val="20"/>
          <w:szCs w:val="20"/>
        </w:rPr>
        <w:t xml:space="preserve">En ejercicio de su derecho de defensa, el Postor alegó que primigeniamente, el 12 de marzo de 2010 se le otorgó la buena pro; sin embargo, transcurridos los plazos no se le notificó para la suscripción del contrato, perjudicándosele económicamente.  Posteriormente, mediante Carta Nº 186-2010-SUNAT-2L0100 del 29 de abril de 2010 se le notificó que la buena pro quedó consentida y se le solicitó diversos </w:t>
      </w:r>
      <w:r w:rsidRPr="00360455">
        <w:rPr>
          <w:rFonts w:ascii="Tahoma" w:hAnsi="Tahoma" w:cs="Tahoma"/>
          <w:sz w:val="20"/>
          <w:szCs w:val="20"/>
        </w:rPr>
        <w:lastRenderedPageBreak/>
        <w:t>documento; sin embargo, esta etapa quedó suspendida por el Comité Especial a fin de dar respuesta a la carta presentada por la empresa S &amp; G Courier S.R.L. el 22 de marzo de 2010, en la que observó el plazo de vigencia de su garantía de seriedad de oferta.</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spacing w:after="0" w:line="240" w:lineRule="auto"/>
        <w:ind w:left="720"/>
        <w:jc w:val="both"/>
        <w:rPr>
          <w:rFonts w:ascii="Tahoma" w:hAnsi="Tahoma" w:cs="Tahoma"/>
          <w:sz w:val="20"/>
          <w:szCs w:val="20"/>
        </w:rPr>
      </w:pPr>
      <w:r w:rsidRPr="00360455">
        <w:rPr>
          <w:rFonts w:ascii="Tahoma" w:hAnsi="Tahoma" w:cs="Tahoma"/>
          <w:sz w:val="20"/>
          <w:szCs w:val="20"/>
        </w:rPr>
        <w:t xml:space="preserve">Agregó el Postor que, aproximadamente ocho (8) meses después de otorgada la buena pro, sin haberla consentido en el SEACE dentro del plazo que manda </w:t>
      </w:r>
      <w:smartTag w:uri="urn:schemas-microsoft-com:office:smarttags" w:element="PersonName">
        <w:smartTagPr>
          <w:attr w:name="ProductID" w:val="la Ley"/>
        </w:smartTagPr>
        <w:r w:rsidRPr="00360455">
          <w:rPr>
            <w:rFonts w:ascii="Tahoma" w:hAnsi="Tahoma" w:cs="Tahoma"/>
            <w:sz w:val="20"/>
            <w:szCs w:val="20"/>
          </w:rPr>
          <w:t>la Ley</w:t>
        </w:r>
      </w:smartTag>
      <w:r w:rsidRPr="00360455">
        <w:rPr>
          <w:rFonts w:ascii="Tahoma" w:hAnsi="Tahoma" w:cs="Tahoma"/>
          <w:sz w:val="20"/>
          <w:szCs w:val="20"/>
        </w:rPr>
        <w:t xml:space="preserve">, con Carta Nº 649-2010-SUNAT/2L0100 del 26 de noviembre de 2010, </w:t>
      </w:r>
      <w:smartTag w:uri="urn:schemas-microsoft-com:office:smarttags" w:element="PersonName">
        <w:smartTagPr>
          <w:attr w:name="ProductID" w:val="la Entidad"/>
        </w:smartTagPr>
        <w:r w:rsidRPr="00360455">
          <w:rPr>
            <w:rFonts w:ascii="Tahoma" w:hAnsi="Tahoma" w:cs="Tahoma"/>
            <w:sz w:val="20"/>
            <w:szCs w:val="20"/>
          </w:rPr>
          <w:t>la Entidad</w:t>
        </w:r>
      </w:smartTag>
      <w:r w:rsidRPr="00360455">
        <w:rPr>
          <w:rFonts w:ascii="Tahoma" w:hAnsi="Tahoma" w:cs="Tahoma"/>
          <w:sz w:val="20"/>
          <w:szCs w:val="20"/>
        </w:rPr>
        <w:t xml:space="preserve"> le comunicó su voluntad de contratar, concediéndole el plazo hasta el 13 de diciembre de 2010. No obstante, con Carta del 09 de diciembre de 2010</w:t>
      </w:r>
      <w:r w:rsidRPr="00360455">
        <w:rPr>
          <w:rStyle w:val="Refdenotaalpie"/>
          <w:rFonts w:ascii="Tahoma" w:hAnsi="Tahoma" w:cs="Tahoma"/>
          <w:sz w:val="20"/>
          <w:szCs w:val="20"/>
        </w:rPr>
        <w:footnoteReference w:id="8"/>
      </w:r>
      <w:r w:rsidRPr="00360455">
        <w:rPr>
          <w:rFonts w:ascii="Tahoma" w:hAnsi="Tahoma" w:cs="Tahoma"/>
          <w:sz w:val="20"/>
          <w:szCs w:val="20"/>
        </w:rPr>
        <w:t xml:space="preserve">, comunicó que no le era posible suscribir el contrato debido a que estaba impedido para contratar con el Estado desde el 19 de noviembre de 2010 hasta el 18 de noviembre de 2011, según lo dispuesto en </w:t>
      </w:r>
      <w:smartTag w:uri="urn:schemas-microsoft-com:office:smarttags" w:element="PersonName">
        <w:smartTagPr>
          <w:attr w:name="ProductID" w:val="la Resolución N"/>
        </w:smartTagPr>
        <w:r w:rsidRPr="00360455">
          <w:rPr>
            <w:rFonts w:ascii="Tahoma" w:hAnsi="Tahoma" w:cs="Tahoma"/>
            <w:sz w:val="20"/>
            <w:szCs w:val="20"/>
          </w:rPr>
          <w:t>la Resolución N</w:t>
        </w:r>
      </w:smartTag>
      <w:r w:rsidRPr="00360455">
        <w:rPr>
          <w:rFonts w:ascii="Tahoma" w:hAnsi="Tahoma" w:cs="Tahoma"/>
          <w:sz w:val="20"/>
          <w:szCs w:val="20"/>
        </w:rPr>
        <w:t>º 2108-2010-TC-S3.</w:t>
      </w:r>
    </w:p>
    <w:p w:rsidR="00360455" w:rsidRPr="00360455" w:rsidRDefault="00360455" w:rsidP="00360455">
      <w:pPr>
        <w:spacing w:after="0" w:line="240" w:lineRule="auto"/>
        <w:ind w:left="720"/>
        <w:jc w:val="both"/>
        <w:rPr>
          <w:rFonts w:ascii="Tahoma" w:hAnsi="Tahoma" w:cs="Tahoma"/>
          <w:sz w:val="20"/>
          <w:szCs w:val="20"/>
        </w:rPr>
      </w:pPr>
    </w:p>
    <w:p w:rsidR="00360455" w:rsidRPr="00360455" w:rsidRDefault="00360455" w:rsidP="00360455">
      <w:pPr>
        <w:numPr>
          <w:ilvl w:val="0"/>
          <w:numId w:val="8"/>
        </w:numPr>
        <w:spacing w:after="0" w:line="240" w:lineRule="auto"/>
        <w:ind w:left="709"/>
        <w:jc w:val="both"/>
        <w:rPr>
          <w:rFonts w:ascii="Tahoma" w:eastAsia="Times New Roman" w:hAnsi="Tahoma" w:cs="Tahoma"/>
          <w:sz w:val="20"/>
          <w:szCs w:val="20"/>
          <w:lang w:eastAsia="es-ES"/>
        </w:rPr>
      </w:pPr>
      <w:r w:rsidRPr="00360455">
        <w:rPr>
          <w:rFonts w:ascii="Tahoma" w:eastAsia="Times New Roman" w:hAnsi="Tahoma" w:cs="Tahoma"/>
          <w:sz w:val="20"/>
          <w:szCs w:val="20"/>
          <w:lang w:eastAsia="es-ES"/>
        </w:rPr>
        <w:t>Revisada la base de datos del Registro de Inhabilitados para contratar con el Estado del Registro Nacional de Proveedores, se aprecia que mediante Resolución Nº 2108-2010-TC-S3 de fecha 08 de noviembre de 2010 el Tribunal impuso al Postor una sanción de inhabilitación temporal de doce (12) meses de inhabilitación temporal para participar en procesos de selección y contratar con el Estado.</w:t>
      </w:r>
    </w:p>
    <w:p w:rsidR="00360455" w:rsidRPr="00360455" w:rsidRDefault="00360455" w:rsidP="00360455">
      <w:pPr>
        <w:spacing w:after="0" w:line="240" w:lineRule="auto"/>
        <w:ind w:left="709"/>
        <w:jc w:val="both"/>
        <w:rPr>
          <w:rFonts w:ascii="Tahoma" w:eastAsia="Times New Roman" w:hAnsi="Tahoma" w:cs="Tahoma"/>
          <w:sz w:val="20"/>
          <w:szCs w:val="20"/>
          <w:lang w:eastAsia="es-ES"/>
        </w:rPr>
      </w:pPr>
    </w:p>
    <w:p w:rsidR="00360455" w:rsidRPr="00360455" w:rsidRDefault="00360455" w:rsidP="00360455">
      <w:pPr>
        <w:numPr>
          <w:ilvl w:val="0"/>
          <w:numId w:val="8"/>
        </w:numPr>
        <w:spacing w:after="0" w:line="240" w:lineRule="auto"/>
        <w:ind w:left="709"/>
        <w:jc w:val="both"/>
        <w:rPr>
          <w:rFonts w:ascii="Tahoma" w:eastAsia="Times New Roman" w:hAnsi="Tahoma" w:cs="Tahoma"/>
          <w:sz w:val="20"/>
          <w:szCs w:val="20"/>
          <w:lang w:eastAsia="es-ES"/>
        </w:rPr>
      </w:pPr>
      <w:r w:rsidRPr="00360455">
        <w:rPr>
          <w:rFonts w:ascii="Tahoma" w:eastAsia="Times New Roman" w:hAnsi="Tahoma" w:cs="Tahoma"/>
          <w:sz w:val="20"/>
          <w:szCs w:val="20"/>
          <w:lang w:eastAsia="es-ES"/>
        </w:rPr>
        <w:t xml:space="preserve">En ese sentido, se ha acreditado que a partir del 19 de noviembre de 2010, el Postor se encontraba inhabilitado para contratar con el Estado, impedimento que se produjo con posterioridad al otorgamiento de la buena pro; a partir de lo cual se desprende que el Postor estaba jurídicamente impedido de suscribir el contrato con </w:t>
      </w:r>
      <w:smartTag w:uri="urn:schemas-microsoft-com:office:smarttags" w:element="PersonName">
        <w:smartTagPr>
          <w:attr w:name="ProductID" w:val="la Entidad"/>
        </w:smartTagPr>
        <w:r w:rsidRPr="00360455">
          <w:rPr>
            <w:rFonts w:ascii="Tahoma" w:eastAsia="Times New Roman" w:hAnsi="Tahoma" w:cs="Tahoma"/>
            <w:sz w:val="20"/>
            <w:szCs w:val="20"/>
            <w:lang w:eastAsia="es-ES"/>
          </w:rPr>
          <w:t>la Entidad</w:t>
        </w:r>
      </w:smartTag>
      <w:r w:rsidRPr="00360455">
        <w:rPr>
          <w:rFonts w:ascii="Tahoma" w:eastAsia="Times New Roman" w:hAnsi="Tahoma" w:cs="Tahoma"/>
          <w:sz w:val="20"/>
          <w:szCs w:val="20"/>
          <w:lang w:eastAsia="es-ES"/>
        </w:rPr>
        <w:t xml:space="preserve"> y la no suscripción del contrato se debió a causas justificadas, máxime si la suscripción del contrato en la condición de inhabilitado supone otra causal de infracción por suscribir contrato estando impedido para ello.</w:t>
      </w:r>
    </w:p>
    <w:p w:rsidR="00360455" w:rsidRPr="00360455" w:rsidRDefault="00360455" w:rsidP="00360455">
      <w:pPr>
        <w:spacing w:after="0" w:line="240" w:lineRule="auto"/>
        <w:ind w:left="709"/>
        <w:jc w:val="both"/>
        <w:rPr>
          <w:rFonts w:ascii="Tahoma" w:eastAsia="Times New Roman" w:hAnsi="Tahoma" w:cs="Tahoma"/>
          <w:sz w:val="20"/>
          <w:szCs w:val="20"/>
          <w:lang w:eastAsia="es-ES"/>
        </w:rPr>
      </w:pPr>
    </w:p>
    <w:p w:rsidR="00360455" w:rsidRPr="00360455" w:rsidRDefault="00360455" w:rsidP="00360455">
      <w:pPr>
        <w:numPr>
          <w:ilvl w:val="0"/>
          <w:numId w:val="8"/>
        </w:numPr>
        <w:spacing w:after="0" w:line="240" w:lineRule="auto"/>
        <w:ind w:left="709"/>
        <w:jc w:val="both"/>
        <w:rPr>
          <w:rFonts w:ascii="Tahoma" w:eastAsia="Times New Roman" w:hAnsi="Tahoma" w:cs="Tahoma"/>
          <w:sz w:val="20"/>
          <w:szCs w:val="20"/>
          <w:lang w:eastAsia="es-ES"/>
        </w:rPr>
      </w:pPr>
      <w:r w:rsidRPr="00360455">
        <w:rPr>
          <w:rFonts w:ascii="Tahoma" w:eastAsia="Times New Roman" w:hAnsi="Tahoma" w:cs="Tahoma"/>
          <w:sz w:val="20"/>
          <w:szCs w:val="20"/>
          <w:lang w:eastAsia="es-ES"/>
        </w:rPr>
        <w:t xml:space="preserve">Consecuentemente, luego del análisis correspondiente, este Colegiado concluye que, en el presente caso, se ha acreditado una causa justificada por parte del Postor para la omisión a suscribir el contrato derivado de </w:t>
      </w:r>
      <w:smartTag w:uri="urn:schemas-microsoft-com:office:smarttags" w:element="PersonName">
        <w:smartTagPr>
          <w:attr w:name="ProductID" w:val="la Adjudicación Directa"/>
        </w:smartTagPr>
        <w:r w:rsidRPr="00360455">
          <w:rPr>
            <w:rFonts w:ascii="Tahoma" w:eastAsia="Times New Roman" w:hAnsi="Tahoma" w:cs="Tahoma"/>
            <w:sz w:val="20"/>
            <w:szCs w:val="20"/>
            <w:lang w:eastAsia="es-ES"/>
          </w:rPr>
          <w:t>la Adjudicación Directa</w:t>
        </w:r>
      </w:smartTag>
      <w:r w:rsidRPr="00360455">
        <w:rPr>
          <w:rFonts w:ascii="Tahoma" w:eastAsia="Times New Roman" w:hAnsi="Tahoma" w:cs="Tahoma"/>
          <w:sz w:val="20"/>
          <w:szCs w:val="20"/>
          <w:lang w:eastAsia="es-ES"/>
        </w:rPr>
        <w:t xml:space="preserve"> Selectiva Nº 002-2010-SUNAT/2L0000 debido a un impedimento jurídico del Postor sobrevenido al otorgamiento de la buena pro que no le es atribuible, por lo que se determina que en el presente caso no se ha configurado la causal de sanción tipificada en el </w:t>
      </w:r>
      <w:r w:rsidRPr="00360455">
        <w:rPr>
          <w:rFonts w:ascii="Tahoma" w:hAnsi="Tahoma" w:cs="Tahoma"/>
          <w:sz w:val="20"/>
          <w:szCs w:val="20"/>
        </w:rPr>
        <w:t xml:space="preserve">literal a) del numeral 51.1 del artículo 51 de </w:t>
      </w:r>
      <w:smartTag w:uri="urn:schemas-microsoft-com:office:smarttags" w:element="PersonName">
        <w:smartTagPr>
          <w:attr w:name="ProductID" w:val="la Ley."/>
        </w:smartTagPr>
        <w:r w:rsidRPr="00360455">
          <w:rPr>
            <w:rFonts w:ascii="Tahoma" w:hAnsi="Tahoma" w:cs="Tahoma"/>
            <w:sz w:val="20"/>
            <w:szCs w:val="20"/>
          </w:rPr>
          <w:t>la Ley.</w:t>
        </w:r>
      </w:smartTag>
    </w:p>
    <w:p w:rsidR="00360455" w:rsidRPr="00360455" w:rsidRDefault="00360455" w:rsidP="00360455">
      <w:pPr>
        <w:spacing w:after="0" w:line="240" w:lineRule="auto"/>
        <w:ind w:left="709"/>
        <w:jc w:val="both"/>
        <w:rPr>
          <w:rFonts w:ascii="Tahoma" w:eastAsia="Times New Roman" w:hAnsi="Tahoma" w:cs="Tahoma"/>
          <w:sz w:val="20"/>
          <w:szCs w:val="20"/>
          <w:lang w:eastAsia="es-ES"/>
        </w:rPr>
      </w:pPr>
    </w:p>
    <w:p w:rsidR="00360455" w:rsidRPr="00360455" w:rsidRDefault="00360455" w:rsidP="00360455">
      <w:pPr>
        <w:numPr>
          <w:ilvl w:val="0"/>
          <w:numId w:val="8"/>
        </w:numPr>
        <w:spacing w:after="0" w:line="240" w:lineRule="auto"/>
        <w:ind w:left="709"/>
        <w:jc w:val="both"/>
        <w:rPr>
          <w:rFonts w:ascii="Tahoma" w:eastAsia="Times New Roman" w:hAnsi="Tahoma" w:cs="Tahoma"/>
          <w:sz w:val="20"/>
          <w:szCs w:val="20"/>
          <w:lang w:eastAsia="es-ES"/>
        </w:rPr>
      </w:pPr>
      <w:r w:rsidRPr="00360455">
        <w:rPr>
          <w:rFonts w:ascii="Tahoma" w:eastAsia="Times New Roman" w:hAnsi="Tahoma" w:cs="Tahoma"/>
          <w:sz w:val="20"/>
          <w:szCs w:val="20"/>
          <w:lang w:eastAsia="es-ES"/>
        </w:rPr>
        <w:t xml:space="preserve">Finalmente, respecto al incumplimiento de los plazos durante el proceso de selección, cabe indicar que la propia Entidad, mediante Resolución de Superintendendencia Nº 299-2010/SUNAT del 03 de noviembre de 2010, </w:t>
      </w:r>
      <w:smartTag w:uri="urn:schemas-microsoft-com:office:smarttags" w:element="PersonName">
        <w:smartTagPr>
          <w:attr w:name="ProductID" w:val="la Entidad"/>
        </w:smartTagPr>
        <w:r w:rsidRPr="00360455">
          <w:rPr>
            <w:rFonts w:ascii="Tahoma" w:eastAsia="Times New Roman" w:hAnsi="Tahoma" w:cs="Tahoma"/>
            <w:sz w:val="20"/>
            <w:szCs w:val="20"/>
            <w:lang w:eastAsia="es-ES"/>
          </w:rPr>
          <w:t>la Entidad</w:t>
        </w:r>
      </w:smartTag>
      <w:r w:rsidRPr="00360455">
        <w:rPr>
          <w:rFonts w:ascii="Tahoma" w:eastAsia="Times New Roman" w:hAnsi="Tahoma" w:cs="Tahoma"/>
          <w:sz w:val="20"/>
          <w:szCs w:val="20"/>
          <w:lang w:eastAsia="es-ES"/>
        </w:rPr>
        <w:t xml:space="preserve"> declaró su nulidad e informó los hechos a </w:t>
      </w:r>
      <w:smartTag w:uri="urn:schemas-microsoft-com:office:smarttags" w:element="PersonName">
        <w:smartTagPr>
          <w:attr w:name="ProductID" w:val="la Intendencia Nacional"/>
        </w:smartTagPr>
        <w:r w:rsidRPr="00360455">
          <w:rPr>
            <w:rFonts w:ascii="Tahoma" w:eastAsia="Times New Roman" w:hAnsi="Tahoma" w:cs="Tahoma"/>
            <w:sz w:val="20"/>
            <w:szCs w:val="20"/>
            <w:lang w:eastAsia="es-ES"/>
          </w:rPr>
          <w:t>la Intendencia Nacional</w:t>
        </w:r>
      </w:smartTag>
      <w:r w:rsidRPr="00360455">
        <w:rPr>
          <w:rFonts w:ascii="Tahoma" w:eastAsia="Times New Roman" w:hAnsi="Tahoma" w:cs="Tahoma"/>
          <w:sz w:val="20"/>
          <w:szCs w:val="20"/>
          <w:lang w:eastAsia="es-ES"/>
        </w:rPr>
        <w:t xml:space="preserve"> de Recursos Humanos para que inicie las acciones correspondientes a fin de determinar las responsabilidad a que hubiera lugar.</w:t>
      </w:r>
    </w:p>
    <w:p w:rsidR="00360455" w:rsidRPr="00360455" w:rsidRDefault="00360455" w:rsidP="00360455">
      <w:pPr>
        <w:pStyle w:val="Prrafodelista"/>
        <w:jc w:val="both"/>
        <w:rPr>
          <w:rFonts w:ascii="Tahoma" w:hAnsi="Tahoma" w:cs="Tahoma"/>
          <w:sz w:val="20"/>
        </w:rPr>
      </w:pPr>
    </w:p>
    <w:p w:rsidR="00360455" w:rsidRPr="00360455" w:rsidRDefault="00360455" w:rsidP="00360455">
      <w:pPr>
        <w:spacing w:after="0" w:line="240" w:lineRule="auto"/>
        <w:ind w:left="-284" w:firstLine="360"/>
        <w:jc w:val="both"/>
        <w:rPr>
          <w:rFonts w:ascii="Tahoma" w:hAnsi="Tahoma" w:cs="Tahoma"/>
          <w:sz w:val="20"/>
          <w:szCs w:val="20"/>
        </w:rPr>
      </w:pPr>
      <w:r w:rsidRPr="00360455">
        <w:rPr>
          <w:rFonts w:ascii="Tahoma" w:hAnsi="Tahoma" w:cs="Tahoma"/>
          <w:sz w:val="20"/>
          <w:szCs w:val="20"/>
        </w:rPr>
        <w:t xml:space="preserve">Por estos fundamentos, de conformidad con el informe del Vocal Ponente Dra. Janette Elke Ramírez Maynetto, y la intervención de los Vocales Dr. Carlos Navas Rondón y Dra. Ada Basulto Liewald, y atendiendo a la reconformación de la Primera Sala del Tribunal de Contrataciones del Estado, según lo dispuesto en la Resolución № 103-2011-OSCE/PRE, expedida el 15 de febrero de 2011, y en ejercicio de las facultades conferidas en los artículos 51 y 63 de la Ley de </w:t>
      </w:r>
      <w:r w:rsidRPr="00360455">
        <w:rPr>
          <w:rFonts w:ascii="Tahoma" w:hAnsi="Tahoma" w:cs="Tahoma"/>
          <w:sz w:val="20"/>
          <w:szCs w:val="20"/>
        </w:rPr>
        <w:lastRenderedPageBreak/>
        <w:t>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360455" w:rsidRPr="00360455" w:rsidRDefault="00360455" w:rsidP="00360455">
      <w:pPr>
        <w:spacing w:after="0" w:line="240" w:lineRule="auto"/>
        <w:jc w:val="both"/>
        <w:rPr>
          <w:rFonts w:ascii="Tahoma" w:hAnsi="Tahoma" w:cs="Tahoma"/>
          <w:sz w:val="20"/>
          <w:szCs w:val="20"/>
        </w:rPr>
      </w:pPr>
    </w:p>
    <w:p w:rsidR="00360455" w:rsidRPr="00360455" w:rsidRDefault="00360455" w:rsidP="00360455">
      <w:pPr>
        <w:spacing w:after="0" w:line="240" w:lineRule="auto"/>
        <w:ind w:right="-315"/>
        <w:jc w:val="both"/>
        <w:rPr>
          <w:rFonts w:ascii="Tahoma" w:hAnsi="Tahoma" w:cs="Tahoma"/>
          <w:b/>
          <w:sz w:val="20"/>
          <w:szCs w:val="20"/>
        </w:rPr>
      </w:pPr>
      <w:r w:rsidRPr="00360455">
        <w:rPr>
          <w:rFonts w:ascii="Tahoma" w:hAnsi="Tahoma" w:cs="Tahoma"/>
          <w:b/>
          <w:sz w:val="20"/>
          <w:szCs w:val="20"/>
        </w:rPr>
        <w:t>LA SALA RESUELVE:</w:t>
      </w:r>
    </w:p>
    <w:p w:rsidR="00360455" w:rsidRPr="00360455" w:rsidRDefault="00360455" w:rsidP="00360455">
      <w:pPr>
        <w:spacing w:after="0" w:line="240" w:lineRule="auto"/>
        <w:jc w:val="both"/>
        <w:rPr>
          <w:rFonts w:ascii="Tahoma" w:hAnsi="Tahoma" w:cs="Tahoma"/>
          <w:b/>
          <w:sz w:val="20"/>
          <w:szCs w:val="20"/>
        </w:rPr>
      </w:pPr>
    </w:p>
    <w:p w:rsidR="00360455" w:rsidRPr="00360455" w:rsidRDefault="00360455" w:rsidP="00360455">
      <w:pPr>
        <w:numPr>
          <w:ilvl w:val="0"/>
          <w:numId w:val="9"/>
        </w:numPr>
        <w:spacing w:after="0" w:line="240" w:lineRule="auto"/>
        <w:jc w:val="both"/>
        <w:rPr>
          <w:rFonts w:ascii="Tahoma" w:hAnsi="Tahoma" w:cs="Tahoma"/>
          <w:sz w:val="20"/>
          <w:szCs w:val="20"/>
        </w:rPr>
      </w:pPr>
      <w:r w:rsidRPr="00360455">
        <w:rPr>
          <w:rFonts w:ascii="Tahoma" w:hAnsi="Tahoma" w:cs="Tahoma"/>
          <w:sz w:val="20"/>
          <w:szCs w:val="20"/>
        </w:rPr>
        <w:t xml:space="preserve">Declarar no ha lugar a la imposición de sanción administrativa a la empresa Opcion Post S.A.C. </w:t>
      </w:r>
      <w:r w:rsidRPr="00360455">
        <w:rPr>
          <w:rFonts w:ascii="Tahoma" w:hAnsi="Tahoma" w:cs="Tahoma"/>
          <w:sz w:val="20"/>
          <w:szCs w:val="20"/>
          <w:lang w:val="es-PE"/>
        </w:rPr>
        <w:t xml:space="preserve">por su supuesta responsabilidad en la comisión de la </w:t>
      </w:r>
      <w:r w:rsidRPr="00360455">
        <w:rPr>
          <w:rFonts w:ascii="Tahoma" w:hAnsi="Tahoma" w:cs="Tahoma"/>
          <w:sz w:val="20"/>
          <w:szCs w:val="20"/>
        </w:rPr>
        <w:t xml:space="preserve">infracción tipificada en el literal a) del numeral 51.1 del artículo 51 de </w:t>
      </w:r>
      <w:smartTag w:uri="urn:schemas-microsoft-com:office:smarttags" w:element="PersonName">
        <w:smartTagPr>
          <w:attr w:name="ProductID" w:val="la Ley"/>
        </w:smartTagPr>
        <w:r w:rsidRPr="00360455">
          <w:rPr>
            <w:rFonts w:ascii="Tahoma" w:hAnsi="Tahoma" w:cs="Tahoma"/>
            <w:sz w:val="20"/>
            <w:szCs w:val="20"/>
          </w:rPr>
          <w:t>la Ley</w:t>
        </w:r>
      </w:smartTag>
      <w:r w:rsidRPr="00360455">
        <w:rPr>
          <w:rFonts w:ascii="Tahoma" w:hAnsi="Tahoma" w:cs="Tahoma"/>
          <w:sz w:val="20"/>
          <w:szCs w:val="20"/>
        </w:rPr>
        <w:t xml:space="preserve"> de Contrataciones del Estado, conforme a los fundamentos expuestos.</w:t>
      </w:r>
    </w:p>
    <w:p w:rsidR="00360455" w:rsidRPr="00360455" w:rsidRDefault="00360455" w:rsidP="00360455">
      <w:pPr>
        <w:tabs>
          <w:tab w:val="num" w:pos="720"/>
        </w:tabs>
        <w:spacing w:after="0" w:line="240" w:lineRule="auto"/>
        <w:jc w:val="both"/>
        <w:rPr>
          <w:rFonts w:ascii="Tahoma" w:hAnsi="Tahoma" w:cs="Tahoma"/>
          <w:sz w:val="20"/>
          <w:szCs w:val="20"/>
        </w:rPr>
      </w:pPr>
    </w:p>
    <w:p w:rsidR="00360455" w:rsidRPr="00360455" w:rsidRDefault="00360455" w:rsidP="00360455">
      <w:pPr>
        <w:pStyle w:val="Ttulo3"/>
        <w:spacing w:before="0" w:after="0" w:line="240" w:lineRule="auto"/>
        <w:jc w:val="both"/>
        <w:rPr>
          <w:rFonts w:ascii="Tahoma" w:hAnsi="Tahoma" w:cs="Tahoma"/>
          <w:b w:val="0"/>
          <w:bCs w:val="0"/>
          <w:sz w:val="20"/>
          <w:szCs w:val="20"/>
        </w:rPr>
      </w:pPr>
      <w:r w:rsidRPr="00360455">
        <w:rPr>
          <w:rFonts w:ascii="Tahoma" w:hAnsi="Tahoma" w:cs="Tahoma"/>
          <w:b w:val="0"/>
          <w:sz w:val="20"/>
          <w:szCs w:val="20"/>
        </w:rPr>
        <w:t>Regístrese, comuníquese y publíquese.</w:t>
      </w:r>
    </w:p>
    <w:p w:rsidR="00360455" w:rsidRPr="00360455" w:rsidRDefault="00360455" w:rsidP="00360455">
      <w:pPr>
        <w:spacing w:after="0" w:line="240" w:lineRule="auto"/>
        <w:jc w:val="both"/>
        <w:rPr>
          <w:rFonts w:ascii="Tahoma" w:hAnsi="Tahoma" w:cs="Tahoma"/>
          <w:b/>
          <w:shadow/>
          <w:sz w:val="20"/>
          <w:szCs w:val="20"/>
        </w:rPr>
      </w:pPr>
    </w:p>
    <w:p w:rsidR="00360455" w:rsidRPr="00360455" w:rsidRDefault="00360455" w:rsidP="00360455">
      <w:pPr>
        <w:spacing w:after="0" w:line="240" w:lineRule="auto"/>
        <w:jc w:val="both"/>
        <w:rPr>
          <w:rFonts w:ascii="Tahoma" w:hAnsi="Tahoma" w:cs="Tahoma"/>
          <w:b/>
          <w:shadow/>
          <w:sz w:val="20"/>
          <w:szCs w:val="20"/>
        </w:rPr>
      </w:pPr>
    </w:p>
    <w:p w:rsidR="00360455" w:rsidRPr="00360455" w:rsidRDefault="00360455" w:rsidP="00360455">
      <w:pPr>
        <w:spacing w:after="0" w:line="240" w:lineRule="auto"/>
        <w:jc w:val="both"/>
        <w:rPr>
          <w:rFonts w:ascii="Tahoma" w:hAnsi="Tahoma" w:cs="Tahoma"/>
          <w:b/>
          <w:shadow/>
          <w:sz w:val="20"/>
          <w:szCs w:val="20"/>
        </w:rPr>
      </w:pPr>
    </w:p>
    <w:p w:rsidR="00360455" w:rsidRPr="00360455" w:rsidRDefault="00360455" w:rsidP="00360455">
      <w:pPr>
        <w:spacing w:after="0" w:line="240" w:lineRule="auto"/>
        <w:jc w:val="both"/>
        <w:rPr>
          <w:rFonts w:ascii="Tahoma" w:hAnsi="Tahoma" w:cs="Tahoma"/>
          <w:b/>
          <w:shadow/>
          <w:sz w:val="20"/>
          <w:szCs w:val="20"/>
        </w:rPr>
      </w:pPr>
    </w:p>
    <w:p w:rsidR="00360455" w:rsidRPr="00360455" w:rsidRDefault="00360455" w:rsidP="00360455">
      <w:pPr>
        <w:spacing w:after="0" w:line="240" w:lineRule="auto"/>
        <w:ind w:left="2832" w:firstLine="708"/>
        <w:jc w:val="both"/>
        <w:rPr>
          <w:rFonts w:ascii="Tahoma" w:hAnsi="Tahoma" w:cs="Tahoma"/>
          <w:b/>
          <w:shadow/>
          <w:sz w:val="20"/>
          <w:szCs w:val="20"/>
        </w:rPr>
      </w:pPr>
      <w:r w:rsidRPr="00360455">
        <w:rPr>
          <w:rFonts w:ascii="Tahoma" w:hAnsi="Tahoma" w:cs="Tahoma"/>
          <w:b/>
          <w:shadow/>
          <w:sz w:val="20"/>
          <w:szCs w:val="20"/>
        </w:rPr>
        <w:t>PRESIDENTE</w:t>
      </w:r>
    </w:p>
    <w:p w:rsidR="00360455" w:rsidRPr="00360455" w:rsidRDefault="00360455" w:rsidP="00360455">
      <w:pPr>
        <w:spacing w:after="0" w:line="240" w:lineRule="auto"/>
        <w:jc w:val="both"/>
        <w:rPr>
          <w:rFonts w:ascii="Tahoma" w:hAnsi="Tahoma" w:cs="Tahoma"/>
          <w:b/>
          <w:shadow/>
          <w:sz w:val="20"/>
          <w:szCs w:val="20"/>
        </w:rPr>
      </w:pPr>
    </w:p>
    <w:p w:rsidR="00360455" w:rsidRPr="00360455" w:rsidRDefault="00360455" w:rsidP="00360455">
      <w:pPr>
        <w:spacing w:after="0" w:line="240" w:lineRule="auto"/>
        <w:jc w:val="both"/>
        <w:rPr>
          <w:rFonts w:ascii="Tahoma" w:hAnsi="Tahoma" w:cs="Tahoma"/>
          <w:b/>
          <w:shadow/>
          <w:sz w:val="20"/>
          <w:szCs w:val="20"/>
        </w:rPr>
      </w:pPr>
    </w:p>
    <w:p w:rsidR="00360455" w:rsidRPr="00360455" w:rsidRDefault="00360455" w:rsidP="00360455">
      <w:pPr>
        <w:spacing w:after="0" w:line="240" w:lineRule="auto"/>
        <w:jc w:val="both"/>
        <w:rPr>
          <w:rFonts w:ascii="Tahoma" w:hAnsi="Tahoma" w:cs="Tahoma"/>
          <w:b/>
          <w:shadow/>
          <w:sz w:val="20"/>
          <w:szCs w:val="20"/>
        </w:rPr>
      </w:pPr>
    </w:p>
    <w:p w:rsidR="00360455" w:rsidRPr="00360455" w:rsidRDefault="00360455" w:rsidP="00360455">
      <w:pPr>
        <w:spacing w:after="0" w:line="240" w:lineRule="auto"/>
        <w:jc w:val="both"/>
        <w:rPr>
          <w:rFonts w:ascii="Tahoma" w:hAnsi="Tahoma" w:cs="Tahoma"/>
          <w:b/>
          <w:shadow/>
          <w:sz w:val="20"/>
          <w:szCs w:val="20"/>
        </w:rPr>
      </w:pPr>
    </w:p>
    <w:p w:rsidR="00360455" w:rsidRPr="00360455" w:rsidRDefault="00360455" w:rsidP="00360455">
      <w:pPr>
        <w:spacing w:after="0" w:line="240" w:lineRule="auto"/>
        <w:jc w:val="both"/>
        <w:rPr>
          <w:rFonts w:ascii="Tahoma" w:hAnsi="Tahoma" w:cs="Tahoma"/>
          <w:shadow/>
          <w:sz w:val="20"/>
          <w:szCs w:val="20"/>
        </w:rPr>
      </w:pPr>
      <w:r w:rsidRPr="00360455">
        <w:rPr>
          <w:rFonts w:ascii="Tahoma" w:hAnsi="Tahoma" w:cs="Tahoma"/>
          <w:b/>
          <w:shadow/>
          <w:sz w:val="20"/>
          <w:szCs w:val="20"/>
        </w:rPr>
        <w:t xml:space="preserve">                   VOCAL</w:t>
      </w:r>
      <w:r w:rsidRPr="00360455">
        <w:rPr>
          <w:rFonts w:ascii="Tahoma" w:hAnsi="Tahoma" w:cs="Tahoma"/>
          <w:b/>
          <w:shadow/>
          <w:sz w:val="20"/>
          <w:szCs w:val="20"/>
        </w:rPr>
        <w:tab/>
      </w:r>
      <w:r w:rsidRPr="00360455">
        <w:rPr>
          <w:rFonts w:ascii="Tahoma" w:hAnsi="Tahoma" w:cs="Tahoma"/>
          <w:b/>
          <w:shadow/>
          <w:sz w:val="20"/>
          <w:szCs w:val="20"/>
        </w:rPr>
        <w:tab/>
      </w:r>
      <w:r w:rsidRPr="00360455">
        <w:rPr>
          <w:rFonts w:ascii="Tahoma" w:hAnsi="Tahoma" w:cs="Tahoma"/>
          <w:b/>
          <w:shadow/>
          <w:sz w:val="20"/>
          <w:szCs w:val="20"/>
        </w:rPr>
        <w:tab/>
      </w:r>
      <w:r w:rsidRPr="00360455">
        <w:rPr>
          <w:rFonts w:ascii="Tahoma" w:hAnsi="Tahoma" w:cs="Tahoma"/>
          <w:b/>
          <w:shadow/>
          <w:sz w:val="20"/>
          <w:szCs w:val="20"/>
        </w:rPr>
        <w:tab/>
      </w:r>
      <w:r w:rsidRPr="00360455">
        <w:rPr>
          <w:rFonts w:ascii="Tahoma" w:hAnsi="Tahoma" w:cs="Tahoma"/>
          <w:b/>
          <w:shadow/>
          <w:sz w:val="20"/>
          <w:szCs w:val="20"/>
        </w:rPr>
        <w:tab/>
      </w:r>
      <w:r w:rsidRPr="00360455">
        <w:rPr>
          <w:rFonts w:ascii="Tahoma" w:hAnsi="Tahoma" w:cs="Tahoma"/>
          <w:b/>
          <w:shadow/>
          <w:sz w:val="20"/>
          <w:szCs w:val="20"/>
        </w:rPr>
        <w:tab/>
      </w:r>
      <w:r w:rsidRPr="00360455">
        <w:rPr>
          <w:rFonts w:ascii="Tahoma" w:hAnsi="Tahoma" w:cs="Tahoma"/>
          <w:b/>
          <w:shadow/>
          <w:sz w:val="20"/>
          <w:szCs w:val="20"/>
        </w:rPr>
        <w:tab/>
      </w:r>
      <w:r w:rsidRPr="00360455">
        <w:rPr>
          <w:rFonts w:ascii="Tahoma" w:hAnsi="Tahoma" w:cs="Tahoma"/>
          <w:b/>
          <w:shadow/>
          <w:sz w:val="20"/>
          <w:szCs w:val="20"/>
        </w:rPr>
        <w:tab/>
        <w:t xml:space="preserve">VOCAL                                                                 </w:t>
      </w:r>
    </w:p>
    <w:p w:rsidR="00360455" w:rsidRPr="00360455" w:rsidRDefault="00360455" w:rsidP="00360455">
      <w:pPr>
        <w:spacing w:after="0" w:line="240" w:lineRule="auto"/>
        <w:jc w:val="both"/>
        <w:rPr>
          <w:rFonts w:ascii="Tahoma" w:hAnsi="Tahoma" w:cs="Tahoma"/>
          <w:sz w:val="20"/>
          <w:szCs w:val="20"/>
        </w:rPr>
      </w:pPr>
    </w:p>
    <w:p w:rsidR="00360455" w:rsidRPr="00360455" w:rsidRDefault="00360455" w:rsidP="00360455">
      <w:pPr>
        <w:spacing w:after="0" w:line="240" w:lineRule="auto"/>
        <w:jc w:val="both"/>
        <w:rPr>
          <w:rFonts w:ascii="Tahoma" w:hAnsi="Tahoma" w:cs="Tahoma"/>
          <w:sz w:val="20"/>
          <w:szCs w:val="20"/>
        </w:rPr>
      </w:pPr>
    </w:p>
    <w:p w:rsidR="00360455" w:rsidRPr="00360455" w:rsidRDefault="00360455" w:rsidP="00360455">
      <w:pPr>
        <w:spacing w:after="0" w:line="240" w:lineRule="auto"/>
        <w:jc w:val="both"/>
        <w:rPr>
          <w:rFonts w:ascii="Tahoma" w:hAnsi="Tahoma" w:cs="Tahoma"/>
          <w:sz w:val="20"/>
          <w:szCs w:val="20"/>
        </w:rPr>
      </w:pPr>
      <w:r w:rsidRPr="00360455">
        <w:rPr>
          <w:rFonts w:ascii="Tahoma" w:hAnsi="Tahoma" w:cs="Tahoma"/>
          <w:sz w:val="20"/>
          <w:szCs w:val="20"/>
        </w:rPr>
        <w:t>ss.</w:t>
      </w:r>
    </w:p>
    <w:p w:rsidR="00360455" w:rsidRPr="00360455" w:rsidRDefault="00360455" w:rsidP="00360455">
      <w:pPr>
        <w:spacing w:after="0" w:line="240" w:lineRule="auto"/>
        <w:jc w:val="both"/>
        <w:rPr>
          <w:rFonts w:ascii="Tahoma" w:hAnsi="Tahoma" w:cs="Tahoma"/>
          <w:sz w:val="20"/>
          <w:szCs w:val="20"/>
        </w:rPr>
      </w:pPr>
      <w:r w:rsidRPr="00360455">
        <w:rPr>
          <w:rFonts w:ascii="Tahoma" w:hAnsi="Tahoma" w:cs="Tahoma"/>
          <w:sz w:val="20"/>
          <w:szCs w:val="20"/>
        </w:rPr>
        <w:t>Navas Rondón.</w:t>
      </w:r>
    </w:p>
    <w:p w:rsidR="00360455" w:rsidRPr="00360455" w:rsidRDefault="00360455" w:rsidP="00360455">
      <w:pPr>
        <w:spacing w:after="0" w:line="240" w:lineRule="auto"/>
        <w:jc w:val="both"/>
        <w:rPr>
          <w:rFonts w:ascii="Tahoma" w:hAnsi="Tahoma" w:cs="Tahoma"/>
          <w:sz w:val="20"/>
          <w:szCs w:val="20"/>
        </w:rPr>
      </w:pPr>
      <w:r w:rsidRPr="00360455">
        <w:rPr>
          <w:rFonts w:ascii="Tahoma" w:hAnsi="Tahoma" w:cs="Tahoma"/>
          <w:sz w:val="20"/>
          <w:szCs w:val="20"/>
        </w:rPr>
        <w:t>Ramírez Maynetto.</w:t>
      </w:r>
    </w:p>
    <w:p w:rsidR="00360455" w:rsidRPr="00360455" w:rsidRDefault="00360455" w:rsidP="00360455">
      <w:pPr>
        <w:spacing w:after="0" w:line="240" w:lineRule="auto"/>
        <w:jc w:val="both"/>
        <w:rPr>
          <w:rFonts w:ascii="Tahoma" w:hAnsi="Tahoma" w:cs="Tahoma"/>
          <w:sz w:val="20"/>
          <w:szCs w:val="20"/>
        </w:rPr>
      </w:pPr>
      <w:r w:rsidRPr="00360455">
        <w:rPr>
          <w:rFonts w:ascii="Tahoma" w:hAnsi="Tahoma" w:cs="Tahoma"/>
          <w:sz w:val="20"/>
          <w:szCs w:val="20"/>
        </w:rPr>
        <w:t>Basulto Liewald.</w:t>
      </w:r>
    </w:p>
    <w:p w:rsidR="00360455" w:rsidRPr="00360455" w:rsidRDefault="00360455" w:rsidP="00360455">
      <w:pPr>
        <w:spacing w:after="0" w:line="240" w:lineRule="auto"/>
        <w:jc w:val="both"/>
        <w:rPr>
          <w:rFonts w:ascii="Tahoma" w:hAnsi="Tahoma" w:cs="Tahoma"/>
          <w:sz w:val="20"/>
          <w:szCs w:val="20"/>
        </w:rPr>
      </w:pPr>
    </w:p>
    <w:p w:rsidR="00360455" w:rsidRPr="00360455" w:rsidRDefault="00360455" w:rsidP="00360455">
      <w:pPr>
        <w:spacing w:after="0" w:line="240" w:lineRule="auto"/>
        <w:jc w:val="both"/>
        <w:rPr>
          <w:rFonts w:ascii="Tahoma" w:hAnsi="Tahoma" w:cs="Tahoma"/>
          <w:sz w:val="20"/>
          <w:szCs w:val="20"/>
        </w:rPr>
      </w:pPr>
    </w:p>
    <w:p w:rsidR="00360455" w:rsidRPr="00360455" w:rsidRDefault="00360455" w:rsidP="00360455">
      <w:pPr>
        <w:spacing w:after="0" w:line="240" w:lineRule="auto"/>
        <w:jc w:val="both"/>
        <w:rPr>
          <w:rFonts w:ascii="Tahoma" w:hAnsi="Tahoma" w:cs="Tahoma"/>
          <w:sz w:val="20"/>
          <w:szCs w:val="20"/>
        </w:rPr>
      </w:pPr>
    </w:p>
    <w:p w:rsidR="00BF5946" w:rsidRPr="00360455" w:rsidRDefault="00BF5946" w:rsidP="00360455">
      <w:pPr>
        <w:spacing w:after="0" w:line="240" w:lineRule="auto"/>
        <w:jc w:val="both"/>
        <w:rPr>
          <w:rFonts w:ascii="Tahoma" w:hAnsi="Tahoma" w:cs="Tahoma"/>
          <w:sz w:val="20"/>
          <w:szCs w:val="20"/>
        </w:rPr>
      </w:pPr>
    </w:p>
    <w:sectPr w:rsidR="00BF5946" w:rsidRPr="00360455" w:rsidSect="00BF5946">
      <w:headerReference w:type="default" r:id="rId7"/>
      <w:footerReference w:type="default" r:id="rId8"/>
      <w:pgSz w:w="11906" w:h="16838"/>
      <w:pgMar w:top="2836" w:right="1700" w:bottom="1702"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250" w:rsidRDefault="00055250" w:rsidP="00360455">
      <w:pPr>
        <w:spacing w:after="0" w:line="240" w:lineRule="auto"/>
      </w:pPr>
      <w:r>
        <w:separator/>
      </w:r>
    </w:p>
  </w:endnote>
  <w:endnote w:type="continuationSeparator" w:id="1">
    <w:p w:rsidR="00055250" w:rsidRDefault="00055250" w:rsidP="003604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946" w:rsidRPr="00FD5A0C" w:rsidRDefault="00BF5946">
    <w:pPr>
      <w:pStyle w:val="Piedepgina"/>
      <w:jc w:val="center"/>
      <w:rPr>
        <w:rFonts w:ascii="Tahoma" w:hAnsi="Tahoma" w:cs="Tahoma"/>
        <w:i/>
        <w:sz w:val="18"/>
        <w:szCs w:val="18"/>
      </w:rPr>
    </w:pPr>
    <w:r w:rsidRPr="00FD5A0C">
      <w:rPr>
        <w:rFonts w:ascii="Tahoma" w:hAnsi="Tahoma" w:cs="Tahoma"/>
        <w:i/>
        <w:sz w:val="18"/>
        <w:szCs w:val="18"/>
      </w:rPr>
      <w:t xml:space="preserve">Página </w:t>
    </w:r>
    <w:r w:rsidR="00212E41" w:rsidRPr="00FD5A0C">
      <w:rPr>
        <w:rFonts w:ascii="Tahoma" w:hAnsi="Tahoma" w:cs="Tahoma"/>
        <w:i/>
        <w:sz w:val="18"/>
        <w:szCs w:val="18"/>
      </w:rPr>
      <w:fldChar w:fldCharType="begin"/>
    </w:r>
    <w:r w:rsidRPr="00FD5A0C">
      <w:rPr>
        <w:rFonts w:ascii="Tahoma" w:hAnsi="Tahoma" w:cs="Tahoma"/>
        <w:i/>
        <w:sz w:val="18"/>
        <w:szCs w:val="18"/>
      </w:rPr>
      <w:instrText>PAGE</w:instrText>
    </w:r>
    <w:r w:rsidR="00212E41" w:rsidRPr="00FD5A0C">
      <w:rPr>
        <w:rFonts w:ascii="Tahoma" w:hAnsi="Tahoma" w:cs="Tahoma"/>
        <w:i/>
        <w:sz w:val="18"/>
        <w:szCs w:val="18"/>
      </w:rPr>
      <w:fldChar w:fldCharType="separate"/>
    </w:r>
    <w:r w:rsidR="00317CB6">
      <w:rPr>
        <w:rFonts w:ascii="Tahoma" w:hAnsi="Tahoma" w:cs="Tahoma"/>
        <w:i/>
        <w:noProof/>
        <w:sz w:val="18"/>
        <w:szCs w:val="18"/>
      </w:rPr>
      <w:t>1</w:t>
    </w:r>
    <w:r w:rsidR="00212E41" w:rsidRPr="00FD5A0C">
      <w:rPr>
        <w:rFonts w:ascii="Tahoma" w:hAnsi="Tahoma" w:cs="Tahoma"/>
        <w:i/>
        <w:sz w:val="18"/>
        <w:szCs w:val="18"/>
      </w:rPr>
      <w:fldChar w:fldCharType="end"/>
    </w:r>
    <w:r w:rsidRPr="00FD5A0C">
      <w:rPr>
        <w:rFonts w:ascii="Tahoma" w:hAnsi="Tahoma" w:cs="Tahoma"/>
        <w:i/>
        <w:sz w:val="18"/>
        <w:szCs w:val="18"/>
      </w:rPr>
      <w:t xml:space="preserve"> de </w:t>
    </w:r>
    <w:r w:rsidR="00212E41" w:rsidRPr="00FD5A0C">
      <w:rPr>
        <w:rFonts w:ascii="Tahoma" w:hAnsi="Tahoma" w:cs="Tahoma"/>
        <w:i/>
        <w:sz w:val="18"/>
        <w:szCs w:val="18"/>
      </w:rPr>
      <w:fldChar w:fldCharType="begin"/>
    </w:r>
    <w:r w:rsidRPr="00FD5A0C">
      <w:rPr>
        <w:rFonts w:ascii="Tahoma" w:hAnsi="Tahoma" w:cs="Tahoma"/>
        <w:i/>
        <w:sz w:val="18"/>
        <w:szCs w:val="18"/>
      </w:rPr>
      <w:instrText>NUMPAGES</w:instrText>
    </w:r>
    <w:r w:rsidR="00212E41" w:rsidRPr="00FD5A0C">
      <w:rPr>
        <w:rFonts w:ascii="Tahoma" w:hAnsi="Tahoma" w:cs="Tahoma"/>
        <w:i/>
        <w:sz w:val="18"/>
        <w:szCs w:val="18"/>
      </w:rPr>
      <w:fldChar w:fldCharType="separate"/>
    </w:r>
    <w:r w:rsidR="00317CB6">
      <w:rPr>
        <w:rFonts w:ascii="Tahoma" w:hAnsi="Tahoma" w:cs="Tahoma"/>
        <w:i/>
        <w:noProof/>
        <w:sz w:val="18"/>
        <w:szCs w:val="18"/>
      </w:rPr>
      <w:t>8</w:t>
    </w:r>
    <w:r w:rsidR="00212E41" w:rsidRPr="00FD5A0C">
      <w:rPr>
        <w:rFonts w:ascii="Tahoma" w:hAnsi="Tahoma" w:cs="Tahoma"/>
        <w:i/>
        <w:sz w:val="18"/>
        <w:szCs w:val="18"/>
      </w:rPr>
      <w:fldChar w:fldCharType="end"/>
    </w:r>
  </w:p>
  <w:p w:rsidR="00BF5946" w:rsidRDefault="00BF594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250" w:rsidRDefault="00055250" w:rsidP="00360455">
      <w:pPr>
        <w:spacing w:after="0" w:line="240" w:lineRule="auto"/>
      </w:pPr>
      <w:r>
        <w:separator/>
      </w:r>
    </w:p>
  </w:footnote>
  <w:footnote w:type="continuationSeparator" w:id="1">
    <w:p w:rsidR="00055250" w:rsidRDefault="00055250" w:rsidP="00360455">
      <w:pPr>
        <w:spacing w:after="0" w:line="240" w:lineRule="auto"/>
      </w:pPr>
      <w:r>
        <w:continuationSeparator/>
      </w:r>
    </w:p>
  </w:footnote>
  <w:footnote w:id="2">
    <w:p w:rsidR="00BF5946" w:rsidRPr="00972538" w:rsidRDefault="00BF5946" w:rsidP="00360455">
      <w:pPr>
        <w:pStyle w:val="Textonotapie"/>
        <w:rPr>
          <w:rFonts w:ascii="Times New Roman" w:hAnsi="Times New Roman"/>
          <w:i/>
          <w:sz w:val="18"/>
          <w:szCs w:val="18"/>
        </w:rPr>
      </w:pPr>
      <w:r w:rsidRPr="00972538">
        <w:rPr>
          <w:rStyle w:val="Refdenotaalpie"/>
          <w:rFonts w:ascii="Times New Roman" w:hAnsi="Times New Roman"/>
          <w:i/>
          <w:sz w:val="18"/>
          <w:szCs w:val="18"/>
        </w:rPr>
        <w:footnoteRef/>
      </w:r>
      <w:r w:rsidRPr="00972538">
        <w:rPr>
          <w:rFonts w:ascii="Times New Roman" w:hAnsi="Times New Roman"/>
          <w:i/>
          <w:sz w:val="18"/>
          <w:szCs w:val="18"/>
        </w:rPr>
        <w:t xml:space="preserve"> En la citada misiva se hace alusión al otorgamiento de la buena pro realizado el 12 de marzo de 2010.</w:t>
      </w:r>
    </w:p>
  </w:footnote>
  <w:footnote w:id="3">
    <w:p w:rsidR="00BF5946" w:rsidRPr="00972538" w:rsidRDefault="00BF5946" w:rsidP="00360455">
      <w:pPr>
        <w:pStyle w:val="Textonotapie"/>
        <w:rPr>
          <w:rFonts w:ascii="Times New Roman" w:hAnsi="Times New Roman"/>
          <w:i/>
          <w:sz w:val="18"/>
          <w:szCs w:val="18"/>
        </w:rPr>
      </w:pPr>
      <w:r w:rsidRPr="00972538">
        <w:rPr>
          <w:rStyle w:val="Refdenotaalpie"/>
          <w:rFonts w:ascii="Times New Roman" w:hAnsi="Times New Roman"/>
          <w:i/>
          <w:sz w:val="18"/>
          <w:szCs w:val="18"/>
        </w:rPr>
        <w:footnoteRef/>
      </w:r>
      <w:r w:rsidRPr="00972538">
        <w:rPr>
          <w:rFonts w:ascii="Times New Roman" w:hAnsi="Times New Roman"/>
          <w:i/>
          <w:sz w:val="18"/>
          <w:szCs w:val="18"/>
        </w:rPr>
        <w:t xml:space="preserve"> Acuerdo adoptado, por mayoría, con excepción del Voto en Discordia formulado por el Dr. Derik Latorre Boza, al cual  se adhirió </w:t>
      </w:r>
      <w:smartTag w:uri="urn:schemas-microsoft-com:office:smarttags" w:element="PersonName">
        <w:smartTagPr>
          <w:attr w:name="ProductID" w:val="la Dra. Janette"/>
        </w:smartTagPr>
        <w:r w:rsidRPr="00972538">
          <w:rPr>
            <w:rFonts w:ascii="Times New Roman" w:hAnsi="Times New Roman"/>
            <w:i/>
            <w:sz w:val="18"/>
            <w:szCs w:val="18"/>
          </w:rPr>
          <w:t>la Dra. Janette</w:t>
        </w:r>
      </w:smartTag>
      <w:r w:rsidRPr="00972538">
        <w:rPr>
          <w:rFonts w:ascii="Times New Roman" w:hAnsi="Times New Roman"/>
          <w:i/>
          <w:sz w:val="18"/>
          <w:szCs w:val="18"/>
        </w:rPr>
        <w:t xml:space="preserve"> Elke Ramírez Maynetto.</w:t>
      </w:r>
    </w:p>
  </w:footnote>
  <w:footnote w:id="4">
    <w:p w:rsidR="00BF5946" w:rsidRPr="00972538" w:rsidRDefault="00BF5946" w:rsidP="00360455">
      <w:pPr>
        <w:rPr>
          <w:rFonts w:ascii="Times New Roman" w:hAnsi="Times New Roman"/>
          <w:b/>
          <w:i/>
          <w:sz w:val="18"/>
          <w:szCs w:val="18"/>
        </w:rPr>
      </w:pPr>
      <w:r w:rsidRPr="00972538">
        <w:rPr>
          <w:rStyle w:val="Refdenotaalpie"/>
          <w:rFonts w:ascii="Times New Roman" w:hAnsi="Times New Roman"/>
          <w:i/>
          <w:sz w:val="18"/>
          <w:szCs w:val="18"/>
        </w:rPr>
        <w:footnoteRef/>
      </w:r>
      <w:r w:rsidRPr="00972538">
        <w:rPr>
          <w:rFonts w:ascii="Times New Roman" w:hAnsi="Times New Roman"/>
          <w:i/>
          <w:sz w:val="18"/>
          <w:szCs w:val="18"/>
        </w:rPr>
        <w:t xml:space="preserve"> </w:t>
      </w:r>
      <w:r w:rsidRPr="00972538">
        <w:rPr>
          <w:rFonts w:ascii="Times New Roman" w:hAnsi="Times New Roman"/>
          <w:b/>
          <w:i/>
          <w:sz w:val="18"/>
          <w:szCs w:val="18"/>
        </w:rPr>
        <w:t xml:space="preserve">Artículo 75- Notificación del acto de otorgamiento de </w:t>
      </w:r>
      <w:smartTag w:uri="urn:schemas-microsoft-com:office:smarttags" w:element="PersonName">
        <w:smartTagPr>
          <w:attr w:name="ProductID" w:val="la Buena Pro"/>
        </w:smartTagPr>
        <w:r w:rsidRPr="00972538">
          <w:rPr>
            <w:rFonts w:ascii="Times New Roman" w:hAnsi="Times New Roman"/>
            <w:b/>
            <w:i/>
            <w:sz w:val="18"/>
            <w:szCs w:val="18"/>
          </w:rPr>
          <w:t>la Buena Pro</w:t>
        </w:r>
      </w:smartTag>
    </w:p>
    <w:p w:rsidR="00BF5946" w:rsidRPr="00972538" w:rsidRDefault="00BF5946" w:rsidP="00360455">
      <w:pPr>
        <w:rPr>
          <w:rFonts w:ascii="Times New Roman" w:hAnsi="Times New Roman"/>
          <w:i/>
          <w:sz w:val="18"/>
          <w:szCs w:val="18"/>
        </w:rPr>
      </w:pPr>
      <w:r w:rsidRPr="00972538">
        <w:rPr>
          <w:rFonts w:ascii="Times New Roman" w:hAnsi="Times New Roman"/>
          <w:i/>
          <w:sz w:val="18"/>
          <w:szCs w:val="18"/>
        </w:rPr>
        <w:tab/>
        <w:t>El otorgamiento de la buena pro realizado en acto público se presumirá notificado a todos los postores en la misma fecha, oportunidad en la que se entregará a los postores copia del acta y el cuadro comparativo detallando los resultados en cada factor de evaluación, sin perjuicio de que se publiquen en el SEACE. Dicha presunción no admite prueba en contrario.</w:t>
      </w:r>
    </w:p>
    <w:p w:rsidR="00BF5946" w:rsidRPr="00972538" w:rsidRDefault="00BF5946" w:rsidP="00360455">
      <w:pPr>
        <w:rPr>
          <w:rFonts w:ascii="Times New Roman" w:hAnsi="Times New Roman"/>
          <w:i/>
          <w:sz w:val="18"/>
          <w:szCs w:val="18"/>
        </w:rPr>
      </w:pPr>
      <w:r w:rsidRPr="00972538">
        <w:rPr>
          <w:rFonts w:ascii="Times New Roman" w:hAnsi="Times New Roman"/>
          <w:i/>
          <w:sz w:val="18"/>
          <w:szCs w:val="18"/>
        </w:rPr>
        <w:tab/>
      </w:r>
      <w:r w:rsidRPr="00972538">
        <w:rPr>
          <w:rFonts w:ascii="Times New Roman" w:hAnsi="Times New Roman"/>
          <w:b/>
          <w:i/>
          <w:sz w:val="18"/>
          <w:szCs w:val="18"/>
        </w:rPr>
        <w:t>En acto privado el otorgamiento de la buena pro se notificará a través de su publicación en el SEACE</w:t>
      </w:r>
      <w:r w:rsidRPr="00972538">
        <w:rPr>
          <w:rFonts w:ascii="Times New Roman" w:hAnsi="Times New Roman"/>
          <w:i/>
          <w:sz w:val="18"/>
          <w:szCs w:val="18"/>
        </w:rPr>
        <w:t xml:space="preserve">, en </w:t>
      </w:r>
      <w:smartTag w:uri="urn:schemas-microsoft-com:office:smarttags" w:element="PersonName">
        <w:smartTagPr>
          <w:attr w:name="ProductID" w:val="la Sede"/>
        </w:smartTagPr>
        <w:r w:rsidRPr="00972538">
          <w:rPr>
            <w:rFonts w:ascii="Times New Roman" w:hAnsi="Times New Roman"/>
            <w:i/>
            <w:sz w:val="18"/>
            <w:szCs w:val="18"/>
          </w:rPr>
          <w:t>la Sede</w:t>
        </w:r>
      </w:smartTag>
      <w:r w:rsidRPr="00972538">
        <w:rPr>
          <w:rFonts w:ascii="Times New Roman" w:hAnsi="Times New Roman"/>
          <w:i/>
          <w:sz w:val="18"/>
          <w:szCs w:val="18"/>
        </w:rPr>
        <w:t xml:space="preserve"> de </w:t>
      </w:r>
      <w:smartTag w:uri="urn:schemas-microsoft-com:office:smarttags" w:element="PersonName">
        <w:smartTagPr>
          <w:attr w:name="ProductID" w:val="la Entidad"/>
        </w:smartTagPr>
        <w:r w:rsidRPr="00972538">
          <w:rPr>
            <w:rFonts w:ascii="Times New Roman" w:hAnsi="Times New Roman"/>
            <w:i/>
            <w:sz w:val="18"/>
            <w:szCs w:val="18"/>
          </w:rPr>
          <w:t>la Entidad</w:t>
        </w:r>
      </w:smartTag>
      <w:r w:rsidRPr="00972538">
        <w:rPr>
          <w:rFonts w:ascii="Times New Roman" w:hAnsi="Times New Roman"/>
          <w:i/>
          <w:sz w:val="18"/>
          <w:szCs w:val="18"/>
        </w:rPr>
        <w:t xml:space="preserve"> y a los correos electrónicos de los postores, de ser el caso, el mismo día de su realización, bajo responsabilidad del Comité Especial u órgano encargado de conducir el proceso, e incluirá el acta y el cuadro comparativo detallado con los resultados del otorgamiento de la buena pro.</w:t>
      </w:r>
    </w:p>
  </w:footnote>
  <w:footnote w:id="5">
    <w:p w:rsidR="00BF5946" w:rsidRPr="00972538" w:rsidRDefault="00BF5946" w:rsidP="00360455">
      <w:pPr>
        <w:pStyle w:val="Textonotapie"/>
        <w:rPr>
          <w:rFonts w:ascii="Times New Roman" w:hAnsi="Times New Roman"/>
          <w:b/>
          <w:i/>
          <w:sz w:val="18"/>
          <w:szCs w:val="18"/>
        </w:rPr>
      </w:pPr>
      <w:r w:rsidRPr="00972538">
        <w:rPr>
          <w:rStyle w:val="Refdenotaalpie"/>
          <w:rFonts w:ascii="Times New Roman" w:hAnsi="Times New Roman"/>
          <w:i/>
          <w:sz w:val="18"/>
          <w:szCs w:val="18"/>
        </w:rPr>
        <w:footnoteRef/>
      </w:r>
      <w:r w:rsidRPr="00972538">
        <w:rPr>
          <w:rFonts w:ascii="Times New Roman" w:hAnsi="Times New Roman"/>
          <w:i/>
          <w:sz w:val="18"/>
          <w:szCs w:val="18"/>
        </w:rPr>
        <w:t xml:space="preserve"> </w:t>
      </w:r>
      <w:r w:rsidRPr="00972538">
        <w:rPr>
          <w:rFonts w:ascii="Times New Roman" w:hAnsi="Times New Roman"/>
          <w:b/>
          <w:i/>
          <w:sz w:val="18"/>
          <w:szCs w:val="18"/>
        </w:rPr>
        <w:t xml:space="preserve">Artículo 77.- Consentimiento del otorgamiento de </w:t>
      </w:r>
      <w:smartTag w:uri="urn:schemas-microsoft-com:office:smarttags" w:element="PersonName">
        <w:smartTagPr>
          <w:attr w:name="ProductID" w:val="la Buena Pro"/>
        </w:smartTagPr>
        <w:r w:rsidRPr="00972538">
          <w:rPr>
            <w:rFonts w:ascii="Times New Roman" w:hAnsi="Times New Roman"/>
            <w:b/>
            <w:i/>
            <w:sz w:val="18"/>
            <w:szCs w:val="18"/>
          </w:rPr>
          <w:t>la Buena Pro</w:t>
        </w:r>
      </w:smartTag>
    </w:p>
    <w:p w:rsidR="00BF5946" w:rsidRPr="00972538" w:rsidRDefault="00BF5946" w:rsidP="00360455">
      <w:pPr>
        <w:pStyle w:val="Textonotapie"/>
        <w:rPr>
          <w:rFonts w:ascii="Times New Roman" w:hAnsi="Times New Roman"/>
          <w:b/>
          <w:i/>
          <w:sz w:val="18"/>
          <w:szCs w:val="18"/>
        </w:rPr>
      </w:pPr>
      <w:r w:rsidRPr="00972538">
        <w:rPr>
          <w:rFonts w:ascii="Times New Roman" w:hAnsi="Times New Roman"/>
          <w:b/>
          <w:i/>
          <w:sz w:val="18"/>
          <w:szCs w:val="18"/>
        </w:rPr>
        <w:tab/>
        <w:t xml:space="preserve">Cuando se hayan presentado dos (2) o más propuestas, el consentimiento de </w:t>
      </w:r>
      <w:smartTag w:uri="urn:schemas-microsoft-com:office:smarttags" w:element="PersonName">
        <w:smartTagPr>
          <w:attr w:name="ProductID" w:val="la Buena Pro"/>
        </w:smartTagPr>
        <w:r w:rsidRPr="00972538">
          <w:rPr>
            <w:rFonts w:ascii="Times New Roman" w:hAnsi="Times New Roman"/>
            <w:b/>
            <w:i/>
            <w:sz w:val="18"/>
            <w:szCs w:val="18"/>
          </w:rPr>
          <w:t>la Buena Pro</w:t>
        </w:r>
      </w:smartTag>
      <w:r w:rsidRPr="00972538">
        <w:rPr>
          <w:rFonts w:ascii="Times New Roman" w:hAnsi="Times New Roman"/>
          <w:b/>
          <w:i/>
          <w:sz w:val="18"/>
          <w:szCs w:val="18"/>
        </w:rPr>
        <w:t xml:space="preserve"> </w:t>
      </w:r>
      <w:r w:rsidRPr="00972538">
        <w:rPr>
          <w:rFonts w:ascii="Times New Roman" w:hAnsi="Times New Roman"/>
          <w:i/>
          <w:sz w:val="18"/>
          <w:szCs w:val="18"/>
        </w:rPr>
        <w:t>se producirá a los ocho (8) días hábiles de la notificación de su otorgamiento, sin que los postores hayan ejercido el derecho de interponer el recurso de apelación.</w:t>
      </w:r>
      <w:r w:rsidRPr="00972538">
        <w:rPr>
          <w:rFonts w:ascii="Times New Roman" w:hAnsi="Times New Roman"/>
          <w:b/>
          <w:i/>
          <w:sz w:val="18"/>
          <w:szCs w:val="18"/>
        </w:rPr>
        <w:t xml:space="preserve">  En el caso de las Adjudicaciones Directas y de Adjudicaciones de Menor Cuantía, el plazo será de cinco (5) días hábiles.  </w:t>
      </w:r>
      <w:r w:rsidRPr="00972538">
        <w:rPr>
          <w:rFonts w:ascii="Times New Roman" w:hAnsi="Times New Roman"/>
          <w:i/>
          <w:sz w:val="18"/>
          <w:szCs w:val="18"/>
        </w:rPr>
        <w:t xml:space="preserve">Para constatar que </w:t>
      </w:r>
      <w:smartTag w:uri="urn:schemas-microsoft-com:office:smarttags" w:element="PersonName">
        <w:smartTagPr>
          <w:attr w:name="ProductID" w:val="la Buena Pro"/>
        </w:smartTagPr>
        <w:r w:rsidRPr="00972538">
          <w:rPr>
            <w:rFonts w:ascii="Times New Roman" w:hAnsi="Times New Roman"/>
            <w:i/>
            <w:sz w:val="18"/>
            <w:szCs w:val="18"/>
          </w:rPr>
          <w:t>la Buena Pro</w:t>
        </w:r>
      </w:smartTag>
      <w:r w:rsidRPr="00972538">
        <w:rPr>
          <w:rFonts w:ascii="Times New Roman" w:hAnsi="Times New Roman"/>
          <w:i/>
          <w:sz w:val="18"/>
          <w:szCs w:val="18"/>
        </w:rPr>
        <w:t xml:space="preserve"> quedó consentida, en el caso que corresponda interponer recurso de apelación ante el Tribunal, </w:t>
      </w:r>
      <w:smartTag w:uri="urn:schemas-microsoft-com:office:smarttags" w:element="PersonName">
        <w:smartTagPr>
          <w:attr w:name="ProductID" w:val="la Entidad"/>
        </w:smartTagPr>
        <w:r w:rsidRPr="00972538">
          <w:rPr>
            <w:rFonts w:ascii="Times New Roman" w:hAnsi="Times New Roman"/>
            <w:i/>
            <w:sz w:val="18"/>
            <w:szCs w:val="18"/>
          </w:rPr>
          <w:t>la Entidad</w:t>
        </w:r>
      </w:smartTag>
      <w:r w:rsidRPr="00972538">
        <w:rPr>
          <w:rFonts w:ascii="Times New Roman" w:hAnsi="Times New Roman"/>
          <w:i/>
          <w:sz w:val="18"/>
          <w:szCs w:val="18"/>
        </w:rPr>
        <w:t xml:space="preserve"> deberá verificar en el detalle del proceso de selección registrado en el SEACE, si se interpuso el respectivo recurso impugnativo.</w:t>
      </w:r>
    </w:p>
    <w:p w:rsidR="00BF5946" w:rsidRPr="00972538" w:rsidRDefault="00BF5946" w:rsidP="00360455">
      <w:pPr>
        <w:pStyle w:val="Textonotapie"/>
        <w:ind w:firstLine="708"/>
        <w:rPr>
          <w:rFonts w:ascii="Times New Roman" w:hAnsi="Times New Roman"/>
          <w:i/>
          <w:sz w:val="18"/>
          <w:szCs w:val="18"/>
        </w:rPr>
      </w:pPr>
      <w:r w:rsidRPr="00972538">
        <w:rPr>
          <w:rFonts w:ascii="Times New Roman" w:hAnsi="Times New Roman"/>
          <w:i/>
          <w:sz w:val="18"/>
          <w:szCs w:val="18"/>
        </w:rPr>
        <w:t>En caso de haberse presentado una sola oferta, el consentimiento de la buena pro se producirá el mismo día de su notificación.</w:t>
      </w:r>
    </w:p>
    <w:p w:rsidR="00BF5946" w:rsidRPr="00972538" w:rsidRDefault="00BF5946" w:rsidP="00360455">
      <w:pPr>
        <w:pStyle w:val="Textonotapie"/>
        <w:rPr>
          <w:rFonts w:ascii="Times New Roman" w:hAnsi="Times New Roman"/>
          <w:i/>
          <w:sz w:val="18"/>
          <w:szCs w:val="18"/>
        </w:rPr>
      </w:pPr>
      <w:r w:rsidRPr="00972538">
        <w:rPr>
          <w:rFonts w:ascii="Times New Roman" w:hAnsi="Times New Roman"/>
          <w:i/>
          <w:sz w:val="18"/>
          <w:szCs w:val="18"/>
        </w:rPr>
        <w:tab/>
        <w:t xml:space="preserve">Una vez consentido el otorgamiento de </w:t>
      </w:r>
      <w:smartTag w:uri="urn:schemas-microsoft-com:office:smarttags" w:element="PersonName">
        <w:smartTagPr>
          <w:attr w:name="ProductID" w:val="la Buena Pro"/>
        </w:smartTagPr>
        <w:r w:rsidRPr="00972538">
          <w:rPr>
            <w:rFonts w:ascii="Times New Roman" w:hAnsi="Times New Roman"/>
            <w:i/>
            <w:sz w:val="18"/>
            <w:szCs w:val="18"/>
          </w:rPr>
          <w:t>la Buena Pro</w:t>
        </w:r>
      </w:smartTag>
      <w:r w:rsidRPr="00972538">
        <w:rPr>
          <w:rFonts w:ascii="Times New Roman" w:hAnsi="Times New Roman"/>
          <w:i/>
          <w:sz w:val="18"/>
          <w:szCs w:val="18"/>
        </w:rPr>
        <w:t xml:space="preserve">, el Comité Especial remitirá el expediente de contratación a la dependencia encargada de las adquisiciones y contrataciones de </w:t>
      </w:r>
      <w:smartTag w:uri="urn:schemas-microsoft-com:office:smarttags" w:element="PersonName">
        <w:smartTagPr>
          <w:attr w:name="ProductID" w:val="la Entidad"/>
        </w:smartTagPr>
        <w:r w:rsidRPr="00972538">
          <w:rPr>
            <w:rFonts w:ascii="Times New Roman" w:hAnsi="Times New Roman"/>
            <w:i/>
            <w:sz w:val="18"/>
            <w:szCs w:val="18"/>
          </w:rPr>
          <w:t>la Entidad</w:t>
        </w:r>
      </w:smartTag>
      <w:r w:rsidRPr="00972538">
        <w:rPr>
          <w:rFonts w:ascii="Times New Roman" w:hAnsi="Times New Roman"/>
          <w:i/>
          <w:sz w:val="18"/>
          <w:szCs w:val="18"/>
        </w:rPr>
        <w:t>, la que asumirá competencia desde ese momento para ejecutar los actos destinados a la formalización del contrato.</w:t>
      </w:r>
    </w:p>
  </w:footnote>
  <w:footnote w:id="6">
    <w:p w:rsidR="00BF5946" w:rsidRPr="00972538" w:rsidRDefault="00BF5946" w:rsidP="00360455">
      <w:pPr>
        <w:pStyle w:val="Textonotapie"/>
        <w:rPr>
          <w:rFonts w:ascii="Times New Roman" w:hAnsi="Times New Roman"/>
          <w:i/>
          <w:sz w:val="18"/>
          <w:szCs w:val="18"/>
        </w:rPr>
      </w:pPr>
      <w:r w:rsidRPr="00972538">
        <w:rPr>
          <w:rStyle w:val="Refdenotaalpie"/>
          <w:rFonts w:ascii="Times New Roman" w:hAnsi="Times New Roman"/>
          <w:i/>
          <w:sz w:val="18"/>
          <w:szCs w:val="18"/>
        </w:rPr>
        <w:footnoteRef/>
      </w:r>
      <w:r w:rsidRPr="00972538">
        <w:rPr>
          <w:rFonts w:ascii="Times New Roman" w:hAnsi="Times New Roman"/>
          <w:i/>
          <w:sz w:val="18"/>
          <w:szCs w:val="18"/>
        </w:rPr>
        <w:t xml:space="preserve"> Documento obrante a fojas 026 del expediente administrativo.</w:t>
      </w:r>
    </w:p>
  </w:footnote>
  <w:footnote w:id="7">
    <w:p w:rsidR="00BF5946" w:rsidRPr="00972538" w:rsidRDefault="00BF5946" w:rsidP="00360455">
      <w:pPr>
        <w:pStyle w:val="Textonotapie"/>
        <w:rPr>
          <w:rFonts w:ascii="Times New Roman" w:hAnsi="Times New Roman"/>
          <w:b/>
          <w:i/>
          <w:sz w:val="18"/>
          <w:szCs w:val="18"/>
        </w:rPr>
      </w:pPr>
      <w:r w:rsidRPr="00972538">
        <w:rPr>
          <w:rStyle w:val="Refdenotaalpie"/>
          <w:rFonts w:ascii="Times New Roman" w:hAnsi="Times New Roman"/>
          <w:i/>
          <w:sz w:val="18"/>
          <w:szCs w:val="18"/>
        </w:rPr>
        <w:footnoteRef/>
      </w:r>
      <w:r w:rsidRPr="00972538">
        <w:rPr>
          <w:rFonts w:ascii="Times New Roman" w:hAnsi="Times New Roman"/>
          <w:i/>
          <w:sz w:val="18"/>
          <w:szCs w:val="18"/>
        </w:rPr>
        <w:t xml:space="preserve"> </w:t>
      </w:r>
      <w:r w:rsidRPr="00972538">
        <w:rPr>
          <w:rFonts w:ascii="Times New Roman" w:hAnsi="Times New Roman"/>
          <w:b/>
          <w:i/>
          <w:sz w:val="18"/>
          <w:szCs w:val="18"/>
        </w:rPr>
        <w:t xml:space="preserve">Artículo 137.- Obligación de contratar </w:t>
      </w:r>
    </w:p>
    <w:p w:rsidR="00BF5946" w:rsidRPr="00972538" w:rsidRDefault="00BF5946" w:rsidP="00360455">
      <w:pPr>
        <w:pStyle w:val="Textonotapie"/>
        <w:rPr>
          <w:rFonts w:ascii="Times New Roman" w:hAnsi="Times New Roman"/>
          <w:i/>
          <w:sz w:val="18"/>
          <w:szCs w:val="18"/>
        </w:rPr>
      </w:pPr>
      <w:r w:rsidRPr="00972538">
        <w:rPr>
          <w:rFonts w:ascii="Times New Roman" w:hAnsi="Times New Roman"/>
          <w:i/>
          <w:sz w:val="18"/>
          <w:szCs w:val="18"/>
        </w:rPr>
        <w:tab/>
        <w:t xml:space="preserve">Una vez que </w:t>
      </w:r>
      <w:smartTag w:uri="urn:schemas-microsoft-com:office:smarttags" w:element="PersonName">
        <w:smartTagPr>
          <w:attr w:name="ProductID" w:val="la Buena Pro"/>
        </w:smartTagPr>
        <w:r w:rsidRPr="00972538">
          <w:rPr>
            <w:rFonts w:ascii="Times New Roman" w:hAnsi="Times New Roman"/>
            <w:i/>
            <w:sz w:val="18"/>
            <w:szCs w:val="18"/>
          </w:rPr>
          <w:t>la Buena Pro</w:t>
        </w:r>
      </w:smartTag>
      <w:r w:rsidRPr="00972538">
        <w:rPr>
          <w:rFonts w:ascii="Times New Roman" w:hAnsi="Times New Roman"/>
          <w:i/>
          <w:sz w:val="18"/>
          <w:szCs w:val="18"/>
        </w:rPr>
        <w:t xml:space="preserve"> ha quedado consentida o administrativamente firme, tanto </w:t>
      </w:r>
      <w:smartTag w:uri="urn:schemas-microsoft-com:office:smarttags" w:element="PersonName">
        <w:smartTagPr>
          <w:attr w:name="ProductID" w:val="la Entidad"/>
        </w:smartTagPr>
        <w:r w:rsidRPr="00972538">
          <w:rPr>
            <w:rFonts w:ascii="Times New Roman" w:hAnsi="Times New Roman"/>
            <w:i/>
            <w:sz w:val="18"/>
            <w:szCs w:val="18"/>
          </w:rPr>
          <w:t>la Entidad</w:t>
        </w:r>
      </w:smartTag>
      <w:r w:rsidRPr="00972538">
        <w:rPr>
          <w:rFonts w:ascii="Times New Roman" w:hAnsi="Times New Roman"/>
          <w:i/>
          <w:sz w:val="18"/>
          <w:szCs w:val="18"/>
        </w:rPr>
        <w:t xml:space="preserve"> como el o los postores ganadores, están obligados a suscribir el o los contratos respectivos. </w:t>
      </w:r>
    </w:p>
    <w:p w:rsidR="00BF5946" w:rsidRPr="00972538" w:rsidRDefault="00BF5946" w:rsidP="00360455">
      <w:pPr>
        <w:pStyle w:val="Textonotapie"/>
        <w:rPr>
          <w:rFonts w:ascii="Times New Roman" w:hAnsi="Times New Roman"/>
          <w:i/>
          <w:sz w:val="18"/>
          <w:szCs w:val="18"/>
        </w:rPr>
      </w:pPr>
      <w:r w:rsidRPr="00972538">
        <w:rPr>
          <w:rFonts w:ascii="Times New Roman" w:hAnsi="Times New Roman"/>
          <w:i/>
          <w:sz w:val="18"/>
          <w:szCs w:val="18"/>
        </w:rPr>
        <w:tab/>
      </w:r>
      <w:smartTag w:uri="urn:schemas-microsoft-com:office:smarttags" w:element="PersonName">
        <w:smartTagPr>
          <w:attr w:name="ProductID" w:val="la Entidad"/>
        </w:smartTagPr>
        <w:r w:rsidRPr="00972538">
          <w:rPr>
            <w:rFonts w:ascii="Times New Roman" w:hAnsi="Times New Roman"/>
            <w:i/>
            <w:sz w:val="18"/>
            <w:szCs w:val="18"/>
          </w:rPr>
          <w:t>La Entidad</w:t>
        </w:r>
      </w:smartTag>
      <w:r w:rsidRPr="00972538">
        <w:rPr>
          <w:rFonts w:ascii="Times New Roman" w:hAnsi="Times New Roman"/>
          <w:i/>
          <w:sz w:val="18"/>
          <w:szCs w:val="18"/>
        </w:rPr>
        <w:t xml:space="preserve"> no puede negarse a suscribir el contrato, salvo por razones de recorte presupuestal correspondiente al objeto materia del proceso de selección, por norma expresa o porque desaparezca la necesidad, debidamente acreditada. La negativa a hacerlo basada en otros motivos, genera responsabilidad funcional en el Titular de </w:t>
      </w:r>
      <w:smartTag w:uri="urn:schemas-microsoft-com:office:smarttags" w:element="PersonName">
        <w:smartTagPr>
          <w:attr w:name="ProductID" w:val="la Entidad"/>
        </w:smartTagPr>
        <w:r w:rsidRPr="00972538">
          <w:rPr>
            <w:rFonts w:ascii="Times New Roman" w:hAnsi="Times New Roman"/>
            <w:i/>
            <w:sz w:val="18"/>
            <w:szCs w:val="18"/>
          </w:rPr>
          <w:t>la Entidad</w:t>
        </w:r>
      </w:smartTag>
      <w:r w:rsidRPr="00972538">
        <w:rPr>
          <w:rFonts w:ascii="Times New Roman" w:hAnsi="Times New Roman"/>
          <w:i/>
          <w:sz w:val="18"/>
          <w:szCs w:val="18"/>
        </w:rPr>
        <w:t xml:space="preserve">, en el responsable de Administración o de Logística o el que haga sus veces, según corresponda. </w:t>
      </w:r>
    </w:p>
    <w:p w:rsidR="00BF5946" w:rsidRPr="00972538" w:rsidRDefault="00BF5946" w:rsidP="00360455">
      <w:pPr>
        <w:pStyle w:val="Textonotapie"/>
        <w:rPr>
          <w:rFonts w:ascii="Times New Roman" w:hAnsi="Times New Roman"/>
          <w:i/>
          <w:sz w:val="18"/>
          <w:szCs w:val="18"/>
        </w:rPr>
      </w:pPr>
      <w:r w:rsidRPr="00972538">
        <w:rPr>
          <w:rFonts w:ascii="Times New Roman" w:hAnsi="Times New Roman"/>
          <w:i/>
          <w:sz w:val="18"/>
          <w:szCs w:val="18"/>
        </w:rPr>
        <w:tab/>
        <w:t xml:space="preserve">En caso que el o los postores ganadores de </w:t>
      </w:r>
      <w:smartTag w:uri="urn:schemas-microsoft-com:office:smarttags" w:element="PersonName">
        <w:smartTagPr>
          <w:attr w:name="ProductID" w:val="la Buena Pro"/>
        </w:smartTagPr>
        <w:r w:rsidRPr="00972538">
          <w:rPr>
            <w:rFonts w:ascii="Times New Roman" w:hAnsi="Times New Roman"/>
            <w:i/>
            <w:sz w:val="18"/>
            <w:szCs w:val="18"/>
          </w:rPr>
          <w:t>la Buena Pro</w:t>
        </w:r>
      </w:smartTag>
      <w:r w:rsidRPr="00972538">
        <w:rPr>
          <w:rFonts w:ascii="Times New Roman" w:hAnsi="Times New Roman"/>
          <w:i/>
          <w:sz w:val="18"/>
          <w:szCs w:val="18"/>
        </w:rPr>
        <w:t xml:space="preserve"> se nieguen a suscribir el contrato, serán pasibles de sanción, salvo imposibilidad física o jurídica sobrevenida al otorgamiento de </w:t>
      </w:r>
      <w:smartTag w:uri="urn:schemas-microsoft-com:office:smarttags" w:element="PersonName">
        <w:smartTagPr>
          <w:attr w:name="ProductID" w:val="la Buena Pro"/>
        </w:smartTagPr>
        <w:r w:rsidRPr="00972538">
          <w:rPr>
            <w:rFonts w:ascii="Times New Roman" w:hAnsi="Times New Roman"/>
            <w:i/>
            <w:sz w:val="18"/>
            <w:szCs w:val="18"/>
          </w:rPr>
          <w:t>la Buena Pro</w:t>
        </w:r>
      </w:smartTag>
      <w:r w:rsidRPr="00972538">
        <w:rPr>
          <w:rFonts w:ascii="Times New Roman" w:hAnsi="Times New Roman"/>
          <w:i/>
          <w:sz w:val="18"/>
          <w:szCs w:val="18"/>
        </w:rPr>
        <w:t xml:space="preserve"> que no le es atribuible, declarada por el Tribunal. </w:t>
      </w:r>
    </w:p>
    <w:p w:rsidR="00BF5946" w:rsidRPr="00972538" w:rsidRDefault="00BF5946" w:rsidP="00360455">
      <w:pPr>
        <w:pStyle w:val="Textonotapie"/>
        <w:rPr>
          <w:rFonts w:ascii="Times New Roman" w:hAnsi="Times New Roman"/>
          <w:i/>
          <w:sz w:val="18"/>
          <w:szCs w:val="18"/>
        </w:rPr>
      </w:pPr>
    </w:p>
  </w:footnote>
  <w:footnote w:id="8">
    <w:p w:rsidR="00BF5946" w:rsidRPr="00972538" w:rsidRDefault="00BF5946" w:rsidP="00360455">
      <w:pPr>
        <w:pStyle w:val="Textonotapie"/>
        <w:rPr>
          <w:rFonts w:ascii="Times New Roman" w:hAnsi="Times New Roman"/>
          <w:i/>
          <w:sz w:val="18"/>
          <w:szCs w:val="18"/>
        </w:rPr>
      </w:pPr>
      <w:r w:rsidRPr="00972538">
        <w:rPr>
          <w:rStyle w:val="Refdenotaalpie"/>
          <w:rFonts w:ascii="Times New Roman" w:hAnsi="Times New Roman"/>
          <w:i/>
          <w:sz w:val="18"/>
          <w:szCs w:val="18"/>
        </w:rPr>
        <w:footnoteRef/>
      </w:r>
      <w:r w:rsidRPr="00972538">
        <w:rPr>
          <w:rFonts w:ascii="Times New Roman" w:hAnsi="Times New Roman"/>
          <w:i/>
          <w:sz w:val="18"/>
          <w:szCs w:val="18"/>
        </w:rPr>
        <w:t xml:space="preserve"> Documento obrante a fojas 023 del expediente administrativo.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CB6" w:rsidRDefault="00317CB6" w:rsidP="00317CB6">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317CB6" w:rsidRDefault="00317CB6" w:rsidP="00317CB6">
    <w:pPr>
      <w:pStyle w:val="Encabezado"/>
      <w:rPr>
        <w:noProof/>
      </w:rPr>
    </w:pPr>
  </w:p>
  <w:p w:rsidR="00317CB6" w:rsidRDefault="00317CB6" w:rsidP="00317CB6">
    <w:pPr>
      <w:pStyle w:val="Encabezado"/>
      <w:jc w:val="center"/>
      <w:rPr>
        <w:rFonts w:ascii="Monotype Corsiva" w:hAnsi="Monotype Corsiva"/>
        <w:b/>
        <w:sz w:val="44"/>
        <w:szCs w:val="44"/>
      </w:rPr>
    </w:pPr>
  </w:p>
  <w:p w:rsidR="00317CB6" w:rsidRDefault="00317CB6" w:rsidP="00317CB6">
    <w:pPr>
      <w:pStyle w:val="Encabezado"/>
      <w:jc w:val="center"/>
    </w:pPr>
    <w:r>
      <w:rPr>
        <w:rFonts w:ascii="Monotype Corsiva" w:hAnsi="Monotype Corsiva"/>
        <w:b/>
        <w:sz w:val="44"/>
        <w:szCs w:val="44"/>
      </w:rPr>
      <w:t xml:space="preserve">Resolución Nº   </w:t>
    </w:r>
    <w:r>
      <w:rPr>
        <w:rFonts w:ascii="Tahoma" w:hAnsi="Tahoma" w:cs="Tahoma"/>
        <w:b/>
        <w:sz w:val="44"/>
        <w:szCs w:val="44"/>
      </w:rPr>
      <w:t>1255-2011-TC-S1</w:t>
    </w:r>
  </w:p>
  <w:p w:rsidR="00317CB6" w:rsidRDefault="00317CB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8F46E8D6"/>
    <w:lvl w:ilvl="0" w:tplc="14DEC646">
      <w:start w:val="1"/>
      <w:numFmt w:val="decimal"/>
      <w:lvlText w:val="%1."/>
      <w:lvlJc w:val="left"/>
      <w:pPr>
        <w:tabs>
          <w:tab w:val="num" w:pos="644"/>
        </w:tabs>
        <w:ind w:left="644" w:hanging="360"/>
      </w:pPr>
      <w:rPr>
        <w:b/>
        <w:bCs/>
        <w:i w:val="0"/>
      </w:rPr>
    </w:lvl>
    <w:lvl w:ilvl="1" w:tplc="0C0A0019">
      <w:start w:val="1"/>
      <w:numFmt w:val="lowerLetter"/>
      <w:lvlText w:val="%2."/>
      <w:lvlJc w:val="left"/>
      <w:pPr>
        <w:tabs>
          <w:tab w:val="num" w:pos="1620"/>
        </w:tabs>
        <w:ind w:left="1620" w:hanging="360"/>
      </w:pPr>
    </w:lvl>
    <w:lvl w:ilvl="2" w:tplc="0C0A001B">
      <w:start w:val="1"/>
      <w:numFmt w:val="decimal"/>
      <w:lvlText w:val="%3."/>
      <w:lvlJc w:val="left"/>
      <w:pPr>
        <w:tabs>
          <w:tab w:val="num" w:pos="2340"/>
        </w:tabs>
        <w:ind w:left="2340" w:hanging="360"/>
      </w:pPr>
    </w:lvl>
    <w:lvl w:ilvl="3" w:tplc="0C0A000F">
      <w:start w:val="1"/>
      <w:numFmt w:val="decimal"/>
      <w:lvlText w:val="%4."/>
      <w:lvlJc w:val="left"/>
      <w:pPr>
        <w:tabs>
          <w:tab w:val="num" w:pos="900"/>
        </w:tabs>
        <w:ind w:left="900" w:hanging="360"/>
      </w:pPr>
      <w:rPr>
        <w:b/>
        <w:bCs/>
      </w:rPr>
    </w:lvl>
    <w:lvl w:ilvl="4" w:tplc="0C0A0019">
      <w:start w:val="1"/>
      <w:numFmt w:val="decimal"/>
      <w:lvlText w:val="%5."/>
      <w:lvlJc w:val="left"/>
      <w:pPr>
        <w:tabs>
          <w:tab w:val="num" w:pos="3780"/>
        </w:tabs>
        <w:ind w:left="3780" w:hanging="360"/>
      </w:pPr>
    </w:lvl>
    <w:lvl w:ilvl="5" w:tplc="0C0A001B">
      <w:start w:val="1"/>
      <w:numFmt w:val="decimal"/>
      <w:lvlText w:val="%6."/>
      <w:lvlJc w:val="left"/>
      <w:pPr>
        <w:tabs>
          <w:tab w:val="num" w:pos="4500"/>
        </w:tabs>
        <w:ind w:left="4500" w:hanging="360"/>
      </w:pPr>
    </w:lvl>
    <w:lvl w:ilvl="6" w:tplc="0C0A000F">
      <w:start w:val="1"/>
      <w:numFmt w:val="decimal"/>
      <w:lvlText w:val="%7."/>
      <w:lvlJc w:val="left"/>
      <w:pPr>
        <w:tabs>
          <w:tab w:val="num" w:pos="5220"/>
        </w:tabs>
        <w:ind w:left="5220" w:hanging="360"/>
      </w:pPr>
    </w:lvl>
    <w:lvl w:ilvl="7" w:tplc="0C0A0019">
      <w:start w:val="1"/>
      <w:numFmt w:val="decimal"/>
      <w:lvlText w:val="%8."/>
      <w:lvlJc w:val="left"/>
      <w:pPr>
        <w:tabs>
          <w:tab w:val="num" w:pos="5940"/>
        </w:tabs>
        <w:ind w:left="5940" w:hanging="360"/>
      </w:pPr>
    </w:lvl>
    <w:lvl w:ilvl="8" w:tplc="0C0A001B">
      <w:start w:val="1"/>
      <w:numFmt w:val="decimal"/>
      <w:lvlText w:val="%9."/>
      <w:lvlJc w:val="left"/>
      <w:pPr>
        <w:tabs>
          <w:tab w:val="num" w:pos="6660"/>
        </w:tabs>
        <w:ind w:left="6660" w:hanging="360"/>
      </w:pPr>
    </w:lvl>
  </w:abstractNum>
  <w:abstractNum w:abstractNumId="1">
    <w:nsid w:val="20D1351F"/>
    <w:multiLevelType w:val="hybridMultilevel"/>
    <w:tmpl w:val="596A9C24"/>
    <w:lvl w:ilvl="0" w:tplc="8EA03CE0">
      <w:start w:val="1"/>
      <w:numFmt w:val="decimal"/>
      <w:lvlText w:val="%1."/>
      <w:lvlJc w:val="right"/>
      <w:pPr>
        <w:ind w:left="720" w:hanging="360"/>
      </w:pPr>
      <w:rPr>
        <w:rFonts w:ascii="Tahoma" w:hAnsi="Tahoma" w:hint="default"/>
        <w:b/>
        <w:i w: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30753792"/>
    <w:multiLevelType w:val="hybridMultilevel"/>
    <w:tmpl w:val="28C6AC9C"/>
    <w:lvl w:ilvl="0" w:tplc="AF34D252">
      <w:start w:val="1"/>
      <w:numFmt w:val="lowerRoman"/>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nsid w:val="3CDF6F1B"/>
    <w:multiLevelType w:val="hybridMultilevel"/>
    <w:tmpl w:val="C5A8305A"/>
    <w:lvl w:ilvl="0" w:tplc="B1A6D17A">
      <w:start w:val="1"/>
      <w:numFmt w:val="lowerLetter"/>
      <w:lvlText w:val="%1)"/>
      <w:lvlJc w:val="left"/>
      <w:pPr>
        <w:ind w:left="1080" w:hanging="360"/>
      </w:pPr>
      <w:rPr>
        <w:rFonts w:cs="Times New Roman"/>
      </w:rPr>
    </w:lvl>
    <w:lvl w:ilvl="1" w:tplc="0C0A0019">
      <w:start w:val="1"/>
      <w:numFmt w:val="decimal"/>
      <w:lvlText w:val="%2."/>
      <w:lvlJc w:val="left"/>
      <w:pPr>
        <w:tabs>
          <w:tab w:val="num" w:pos="1440"/>
        </w:tabs>
        <w:ind w:left="1440"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4">
    <w:nsid w:val="40B06780"/>
    <w:multiLevelType w:val="hybridMultilevel"/>
    <w:tmpl w:val="B9045CF6"/>
    <w:lvl w:ilvl="0" w:tplc="A720E4EE">
      <w:start w:val="1"/>
      <w:numFmt w:val="decimal"/>
      <w:lvlText w:val="%1."/>
      <w:lvlJc w:val="left"/>
      <w:pPr>
        <w:ind w:left="360" w:hanging="360"/>
      </w:pPr>
      <w:rPr>
        <w:rFonts w:cs="Times New Roman"/>
        <w:b/>
        <w:bCs/>
      </w:rPr>
    </w:lvl>
    <w:lvl w:ilvl="1" w:tplc="0C0A0019">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5">
    <w:nsid w:val="4ADA5249"/>
    <w:multiLevelType w:val="multilevel"/>
    <w:tmpl w:val="29DEB438"/>
    <w:lvl w:ilvl="0">
      <w:start w:val="1"/>
      <w:numFmt w:val="decimal"/>
      <w:lvlText w:val="%1."/>
      <w:lvlJc w:val="left"/>
      <w:pPr>
        <w:tabs>
          <w:tab w:val="num" w:pos="360"/>
        </w:tabs>
        <w:ind w:left="360" w:hanging="360"/>
      </w:pPr>
      <w:rPr>
        <w:rFonts w:cs="Times New Roman"/>
        <w:b/>
        <w:bCs/>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613B5D9C"/>
    <w:multiLevelType w:val="hybridMultilevel"/>
    <w:tmpl w:val="0CDA7ED0"/>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B8C2175"/>
    <w:multiLevelType w:val="hybridMultilevel"/>
    <w:tmpl w:val="851CF928"/>
    <w:lvl w:ilvl="0" w:tplc="AF34D252">
      <w:start w:val="1"/>
      <w:numFmt w:val="lowerRoman"/>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8">
    <w:nsid w:val="6F4C7797"/>
    <w:multiLevelType w:val="hybridMultilevel"/>
    <w:tmpl w:val="425E5CFE"/>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360455"/>
    <w:rsid w:val="00055250"/>
    <w:rsid w:val="00073E22"/>
    <w:rsid w:val="00212E41"/>
    <w:rsid w:val="00317CB6"/>
    <w:rsid w:val="00360455"/>
    <w:rsid w:val="0066645E"/>
    <w:rsid w:val="0096071E"/>
    <w:rsid w:val="00BF5946"/>
    <w:rsid w:val="00DC49B3"/>
    <w:rsid w:val="00E1186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455"/>
    <w:rPr>
      <w:rFonts w:ascii="Calibri" w:eastAsia="Calibri" w:hAnsi="Calibri" w:cs="Times New Roman"/>
    </w:rPr>
  </w:style>
  <w:style w:type="paragraph" w:styleId="Ttulo2">
    <w:name w:val="heading 2"/>
    <w:basedOn w:val="Normal"/>
    <w:next w:val="Normal"/>
    <w:link w:val="Ttulo2Car"/>
    <w:qFormat/>
    <w:rsid w:val="00360455"/>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360455"/>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360455"/>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360455"/>
    <w:rPr>
      <w:rFonts w:ascii="Arial" w:eastAsia="Calibri" w:hAnsi="Arial" w:cs="Arial"/>
      <w:b/>
      <w:bCs/>
      <w:sz w:val="26"/>
      <w:szCs w:val="26"/>
    </w:rPr>
  </w:style>
  <w:style w:type="paragraph" w:styleId="Textoindependiente3">
    <w:name w:val="Body Text 3"/>
    <w:basedOn w:val="Normal"/>
    <w:link w:val="Textoindependiente3Car"/>
    <w:semiHidden/>
    <w:unhideWhenUsed/>
    <w:rsid w:val="00360455"/>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360455"/>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360455"/>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360455"/>
    <w:pPr>
      <w:tabs>
        <w:tab w:val="center" w:pos="4252"/>
        <w:tab w:val="right" w:pos="8504"/>
      </w:tabs>
    </w:pPr>
  </w:style>
  <w:style w:type="character" w:customStyle="1" w:styleId="PiedepginaCar">
    <w:name w:val="Pie de página Car"/>
    <w:basedOn w:val="Fuentedeprrafopredeter"/>
    <w:link w:val="Piedepgina"/>
    <w:uiPriority w:val="99"/>
    <w:rsid w:val="00360455"/>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 Car"/>
    <w:basedOn w:val="Normal"/>
    <w:link w:val="TextonotapieCar"/>
    <w:rsid w:val="00360455"/>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rsid w:val="00360455"/>
    <w:rPr>
      <w:rFonts w:ascii="Tahoma" w:eastAsia="Calibri" w:hAnsi="Tahoma" w:cs="Tahoma"/>
      <w:sz w:val="20"/>
      <w:szCs w:val="20"/>
    </w:rPr>
  </w:style>
  <w:style w:type="character" w:styleId="Refdenotaalpie">
    <w:name w:val="footnote reference"/>
    <w:basedOn w:val="Fuentedeprrafopredeter"/>
    <w:rsid w:val="00360455"/>
    <w:rPr>
      <w:vertAlign w:val="superscript"/>
    </w:rPr>
  </w:style>
  <w:style w:type="paragraph" w:styleId="Textoindependiente">
    <w:name w:val="Body Text"/>
    <w:basedOn w:val="Normal"/>
    <w:link w:val="TextoindependienteCar"/>
    <w:uiPriority w:val="99"/>
    <w:semiHidden/>
    <w:unhideWhenUsed/>
    <w:rsid w:val="00360455"/>
    <w:pPr>
      <w:spacing w:after="120"/>
    </w:pPr>
  </w:style>
  <w:style w:type="character" w:customStyle="1" w:styleId="TextoindependienteCar">
    <w:name w:val="Texto independiente Car"/>
    <w:basedOn w:val="Fuentedeprrafopredeter"/>
    <w:link w:val="Textoindependiente"/>
    <w:uiPriority w:val="99"/>
    <w:semiHidden/>
    <w:rsid w:val="00360455"/>
    <w:rPr>
      <w:rFonts w:ascii="Calibri" w:eastAsia="Calibri" w:hAnsi="Calibri" w:cs="Times New Roman"/>
    </w:rPr>
  </w:style>
  <w:style w:type="character" w:styleId="Textoennegrita">
    <w:name w:val="Strong"/>
    <w:basedOn w:val="Fuentedeprrafopredeter"/>
    <w:qFormat/>
    <w:rsid w:val="00360455"/>
    <w:rPr>
      <w:rFonts w:ascii="Times New Roman" w:hAnsi="Times New Roman" w:cs="Times New Roman" w:hint="default"/>
      <w:b/>
      <w:bCs/>
    </w:rPr>
  </w:style>
  <w:style w:type="paragraph" w:styleId="NormalWeb">
    <w:name w:val="Normal (Web)"/>
    <w:basedOn w:val="Normal"/>
    <w:rsid w:val="00360455"/>
    <w:pPr>
      <w:spacing w:before="100" w:beforeAutospacing="1" w:after="100" w:afterAutospacing="1" w:line="240" w:lineRule="auto"/>
    </w:pPr>
    <w:rPr>
      <w:rFonts w:ascii="Times New Roman" w:eastAsia="MS Mincho" w:hAnsi="Times New Roman"/>
      <w:sz w:val="24"/>
      <w:szCs w:val="24"/>
      <w:lang w:eastAsia="es-ES"/>
    </w:rPr>
  </w:style>
  <w:style w:type="paragraph" w:customStyle="1" w:styleId="Prrafodelista1">
    <w:name w:val="Párrafo de lista1"/>
    <w:basedOn w:val="Normal"/>
    <w:rsid w:val="00360455"/>
    <w:pPr>
      <w:spacing w:after="0" w:line="240" w:lineRule="auto"/>
      <w:ind w:left="720"/>
    </w:pPr>
    <w:rPr>
      <w:rFonts w:ascii="Times New Roman" w:eastAsia="MS Mincho" w:hAnsi="Times New Roman"/>
      <w:sz w:val="24"/>
      <w:szCs w:val="24"/>
      <w:lang w:eastAsia="es-ES"/>
    </w:rPr>
  </w:style>
  <w:style w:type="paragraph" w:styleId="Encabezado">
    <w:name w:val="header"/>
    <w:aliases w:val="maria,h"/>
    <w:basedOn w:val="Normal"/>
    <w:link w:val="EncabezadoCar"/>
    <w:uiPriority w:val="99"/>
    <w:semiHidden/>
    <w:unhideWhenUsed/>
    <w:rsid w:val="00317CB6"/>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317CB6"/>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48354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2902</Words>
  <Characters>15961</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4</cp:revision>
  <cp:lastPrinted>2011-07-15T21:15:00Z</cp:lastPrinted>
  <dcterms:created xsi:type="dcterms:W3CDTF">2011-07-15T21:03:00Z</dcterms:created>
  <dcterms:modified xsi:type="dcterms:W3CDTF">2011-08-15T16:01:00Z</dcterms:modified>
</cp:coreProperties>
</file>